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2F2AE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2D0B9A1">
            <w:pPr>
              <w:pStyle w:val="19"/>
              <w:framePr/>
              <w:rPr>
                <w:rFonts w:hint="eastAsia" w:ascii="黑体" w:hAnsi="黑体"/>
                <w:b w:val="0"/>
                <w:bCs w:val="0"/>
              </w:rPr>
            </w:pPr>
            <w:r>
              <w:rPr>
                <w:rFonts w:ascii="黑体" w:hAnsi="黑体"/>
                <w:b w:val="0"/>
                <w:bCs w:val="0"/>
              </w:rPr>
              <w:t xml:space="preserve">ICS  </w:t>
            </w:r>
          </w:p>
        </w:tc>
        <w:tc>
          <w:tcPr>
            <w:tcW w:w="8855" w:type="dxa"/>
          </w:tcPr>
          <w:p w14:paraId="7C6E511E">
            <w:pPr>
              <w:pStyle w:val="19"/>
              <w:framePr/>
              <w:rPr>
                <w:rFonts w:hint="eastAsia" w:ascii="黑体" w:hAnsi="黑体"/>
                <w:b w:val="0"/>
                <w:bCs w:val="0"/>
              </w:rPr>
            </w:pPr>
            <w:r>
              <w:rPr>
                <w:rFonts w:hint="eastAsia" w:ascii="黑体" w:hAnsi="黑体"/>
                <w:b w:val="0"/>
                <w:bCs w:val="0"/>
              </w:rPr>
              <w:t>65.100.01</w:t>
            </w:r>
          </w:p>
        </w:tc>
      </w:tr>
      <w:tr w14:paraId="1B7593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B014698">
            <w:pPr>
              <w:pStyle w:val="19"/>
              <w:framePr/>
              <w:rPr>
                <w:rFonts w:hint="eastAsia" w:ascii="黑体" w:hAnsi="黑体"/>
                <w:b w:val="0"/>
                <w:bCs w:val="0"/>
              </w:rPr>
            </w:pPr>
            <w:r>
              <w:rPr>
                <w:rFonts w:ascii="黑体" w:hAnsi="黑体"/>
                <w:b w:val="0"/>
                <w:bCs w:val="0"/>
              </w:rPr>
              <w:t xml:space="preserve">CCS  </w:t>
            </w:r>
          </w:p>
        </w:tc>
        <w:tc>
          <w:tcPr>
            <w:tcW w:w="8855" w:type="dxa"/>
          </w:tcPr>
          <w:p w14:paraId="1AFDF390">
            <w:pPr>
              <w:pStyle w:val="19"/>
              <w:framePr/>
              <w:rPr>
                <w:rFonts w:hint="eastAsia" w:ascii="黑体" w:hAnsi="黑体"/>
                <w:b w:val="0"/>
                <w:bCs w:val="0"/>
              </w:rPr>
            </w:pPr>
            <w:r>
              <w:rPr>
                <w:rFonts w:ascii="黑体" w:hAnsi="黑体"/>
                <w:b w:val="0"/>
                <w:bCs w:val="0"/>
              </w:rPr>
              <w:t xml:space="preserve">G </w:t>
            </w:r>
            <w:r>
              <w:rPr>
                <w:rFonts w:hint="eastAsia" w:ascii="黑体" w:hAnsi="黑体"/>
                <w:b w:val="0"/>
                <w:bCs w:val="0"/>
              </w:rPr>
              <w:t>23</w:t>
            </w:r>
          </w:p>
        </w:tc>
      </w:tr>
    </w:tbl>
    <w:p w14:paraId="08ABA4C8">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3BDD447A">
      <w:pPr>
        <w:pStyle w:val="53"/>
        <w:framePr w:w="9639" w:h="6976" w:hRule="exact" w:hSpace="0" w:vSpace="0" w:wrap="around" w:hAnchor="page" w:y="6408"/>
        <w:jc w:val="center"/>
        <w:rPr>
          <w:rFonts w:hint="eastAsia" w:ascii="黑体" w:hAnsi="黑体" w:eastAsia="黑体"/>
          <w:b w:val="0"/>
          <w:bCs w:val="0"/>
          <w:w w:val="100"/>
        </w:rPr>
      </w:pPr>
    </w:p>
    <w:p w14:paraId="3298E286">
      <w:pPr>
        <w:framePr w:w="9639" w:h="6974" w:hRule="exact" w:wrap="around" w:vAnchor="page" w:hAnchor="page" w:x="1186" w:y="6316" w:anchorLock="1"/>
        <w:ind w:left="-1418"/>
      </w:pPr>
      <w:r>
        <w:rPr>
          <w:rFonts w:hint="eastAsia"/>
        </w:rPr>
        <w:t xml:space="preserve">        </w:t>
      </w:r>
    </w:p>
    <w:p w14:paraId="216DA781">
      <w:pPr>
        <w:pStyle w:val="128"/>
        <w:framePr w:wrap="around" w:x="1186" w:y="6316"/>
      </w:pPr>
      <w:r>
        <w:rPr>
          <w:rFonts w:hint="eastAsia"/>
        </w:rPr>
        <w:t>适用于植保无人飞机的农药桶混液质量评价技术规范</w:t>
      </w:r>
    </w:p>
    <w:p w14:paraId="0EEA3807">
      <w:pPr>
        <w:pStyle w:val="128"/>
        <w:framePr w:wrap="around" w:x="1186" w:y="6316"/>
        <w:rPr>
          <w:sz w:val="28"/>
          <w:szCs w:val="28"/>
        </w:rPr>
      </w:pPr>
      <w:r>
        <w:rPr>
          <w:rFonts w:hint="eastAsia"/>
          <w:sz w:val="28"/>
          <w:szCs w:val="28"/>
        </w:rPr>
        <w:t>T</w:t>
      </w:r>
      <w:r>
        <w:rPr>
          <w:sz w:val="28"/>
          <w:szCs w:val="28"/>
        </w:rPr>
        <w:t>echnical</w:t>
      </w:r>
      <w:r>
        <w:rPr>
          <w:rFonts w:hint="eastAsia"/>
          <w:sz w:val="28"/>
          <w:szCs w:val="28"/>
        </w:rPr>
        <w:t xml:space="preserve"> s</w:t>
      </w:r>
      <w:r>
        <w:rPr>
          <w:sz w:val="28"/>
          <w:szCs w:val="28"/>
        </w:rPr>
        <w:t xml:space="preserve">pecification of </w:t>
      </w:r>
      <w:r>
        <w:rPr>
          <w:rFonts w:hint="eastAsia"/>
          <w:sz w:val="28"/>
          <w:szCs w:val="28"/>
        </w:rPr>
        <w:t>q</w:t>
      </w:r>
      <w:r>
        <w:rPr>
          <w:sz w:val="28"/>
          <w:szCs w:val="28"/>
        </w:rPr>
        <w:t xml:space="preserve">uality </w:t>
      </w:r>
      <w:r>
        <w:rPr>
          <w:rFonts w:hint="eastAsia"/>
          <w:sz w:val="28"/>
          <w:szCs w:val="28"/>
        </w:rPr>
        <w:t>e</w:t>
      </w:r>
      <w:r>
        <w:rPr>
          <w:sz w:val="28"/>
          <w:szCs w:val="28"/>
        </w:rPr>
        <w:t xml:space="preserve">valuation for </w:t>
      </w:r>
      <w:r>
        <w:rPr>
          <w:rFonts w:hint="eastAsia"/>
          <w:sz w:val="28"/>
          <w:szCs w:val="28"/>
        </w:rPr>
        <w:t>p</w:t>
      </w:r>
      <w:r>
        <w:rPr>
          <w:sz w:val="28"/>
          <w:szCs w:val="28"/>
        </w:rPr>
        <w:t xml:space="preserve">esticide </w:t>
      </w:r>
      <w:r>
        <w:rPr>
          <w:rFonts w:hint="eastAsia"/>
          <w:sz w:val="28"/>
          <w:szCs w:val="28"/>
        </w:rPr>
        <w:t>t</w:t>
      </w:r>
      <w:r>
        <w:rPr>
          <w:sz w:val="28"/>
          <w:szCs w:val="28"/>
        </w:rPr>
        <w:t xml:space="preserve">ank </w:t>
      </w:r>
      <w:r>
        <w:rPr>
          <w:rFonts w:hint="eastAsia"/>
          <w:sz w:val="28"/>
          <w:szCs w:val="28"/>
        </w:rPr>
        <w:t>m</w:t>
      </w:r>
      <w:r>
        <w:rPr>
          <w:sz w:val="28"/>
          <w:szCs w:val="28"/>
        </w:rPr>
        <w:t>ixture</w:t>
      </w:r>
      <w:r>
        <w:rPr>
          <w:rFonts w:hint="eastAsia"/>
          <w:sz w:val="28"/>
          <w:szCs w:val="28"/>
        </w:rPr>
        <w:t xml:space="preserve"> a</w:t>
      </w:r>
      <w:r>
        <w:rPr>
          <w:sz w:val="28"/>
          <w:szCs w:val="28"/>
        </w:rPr>
        <w:t xml:space="preserve">pplicable to </w:t>
      </w:r>
      <w:r>
        <w:rPr>
          <w:rFonts w:hint="eastAsia"/>
          <w:sz w:val="28"/>
          <w:szCs w:val="28"/>
        </w:rPr>
        <w:t>p</w:t>
      </w:r>
      <w:r>
        <w:rPr>
          <w:sz w:val="28"/>
          <w:szCs w:val="28"/>
        </w:rPr>
        <w:t xml:space="preserve">lant </w:t>
      </w:r>
      <w:r>
        <w:rPr>
          <w:rFonts w:hint="eastAsia"/>
          <w:sz w:val="28"/>
          <w:szCs w:val="28"/>
        </w:rPr>
        <w:t>p</w:t>
      </w:r>
      <w:r>
        <w:rPr>
          <w:sz w:val="28"/>
          <w:szCs w:val="28"/>
        </w:rPr>
        <w:t xml:space="preserve">rotection </w:t>
      </w:r>
      <w:r>
        <w:rPr>
          <w:rFonts w:hint="eastAsia"/>
          <w:sz w:val="28"/>
          <w:szCs w:val="28"/>
        </w:rPr>
        <w:t>u</w:t>
      </w:r>
      <w:r>
        <w:rPr>
          <w:sz w:val="28"/>
          <w:szCs w:val="28"/>
        </w:rPr>
        <w:t xml:space="preserve">nmanned </w:t>
      </w:r>
      <w:r>
        <w:rPr>
          <w:rFonts w:hint="eastAsia"/>
          <w:sz w:val="28"/>
          <w:szCs w:val="28"/>
        </w:rPr>
        <w:t>a</w:t>
      </w:r>
      <w:r>
        <w:rPr>
          <w:sz w:val="28"/>
          <w:szCs w:val="28"/>
        </w:rPr>
        <w:t>ircrafts</w:t>
      </w:r>
    </w:p>
    <w:p w14:paraId="4A7423DB">
      <w:pPr>
        <w:framePr w:w="9639" w:h="6974" w:hRule="exact" w:wrap="around" w:vAnchor="page" w:hAnchor="page" w:x="1186" w:y="6316" w:anchorLock="1"/>
        <w:spacing w:line="760" w:lineRule="exact"/>
        <w:ind w:left="-1418"/>
      </w:pPr>
    </w:p>
    <w:p w14:paraId="6490750E">
      <w:pPr>
        <w:pStyle w:val="128"/>
        <w:framePr w:wrap="around" w:x="1186" w:y="6316"/>
      </w:pPr>
    </w:p>
    <w:p w14:paraId="14E77487">
      <w:pPr>
        <w:pStyle w:val="128"/>
        <w:framePr w:wrap="around" w:x="1186" w:y="6316"/>
      </w:pPr>
    </w:p>
    <w:p w14:paraId="0E6E1BBD">
      <w:pPr>
        <w:pStyle w:val="196"/>
        <w:framePr w:wrap="around" w:y="14176"/>
      </w:pPr>
      <w:r>
        <w:rPr>
          <w:rFonts w:hint="eastAsia" w:ascii="黑体" w:hAnsi="黑体"/>
        </w:rPr>
        <w:t>202X</w:t>
      </w:r>
      <w:r>
        <w:rPr>
          <w:rFonts w:ascii="黑体" w:hAnsi="黑体"/>
        </w:rPr>
        <w:t>-</w:t>
      </w:r>
      <w:r>
        <w:rPr>
          <w:rFonts w:hint="eastAsia" w:ascii="黑体" w:hAnsi="黑体"/>
        </w:rPr>
        <w:t>XX</w:t>
      </w:r>
      <w:r>
        <w:rPr>
          <w:rFonts w:ascii="黑体" w:hAnsi="黑体"/>
        </w:rPr>
        <w:t>-</w:t>
      </w:r>
      <w:r>
        <w:rPr>
          <w:rFonts w:hint="eastAsia" w:ascii="黑体" w:hAnsi="黑体"/>
        </w:rPr>
        <w:t>XX</w:t>
      </w:r>
      <w:r>
        <w:rPr>
          <w:rFonts w:hint="eastAsia"/>
        </w:rPr>
        <w:t>发布</w:t>
      </w:r>
    </w:p>
    <w:p w14:paraId="312ADA15">
      <w:pPr>
        <w:pStyle w:val="197"/>
        <w:framePr w:wrap="around" w:y="14176"/>
      </w:pPr>
      <w:r>
        <w:rPr>
          <w:rFonts w:hint="eastAsia" w:ascii="黑体"/>
        </w:rPr>
        <w:t>202X</w:t>
      </w:r>
      <w:r>
        <w:rPr>
          <w:rFonts w:ascii="黑体"/>
        </w:rPr>
        <w:t>-</w:t>
      </w:r>
      <w:r>
        <w:rPr>
          <w:rFonts w:hint="eastAsia" w:ascii="黑体"/>
        </w:rPr>
        <w:t>XX</w:t>
      </w:r>
      <w:r>
        <w:rPr>
          <w:rFonts w:ascii="黑体"/>
        </w:rPr>
        <w:t>-</w:t>
      </w:r>
      <w:r>
        <w:rPr>
          <w:rFonts w:hint="eastAsia" w:ascii="黑体"/>
        </w:rPr>
        <w:t>XX</w:t>
      </w:r>
      <w:r>
        <w:rPr>
          <w:rFonts w:hint="eastAsia"/>
        </w:rPr>
        <w:t>实施</w:t>
      </w:r>
    </w:p>
    <w:p w14:paraId="53FD28DA">
      <w:pPr>
        <w:pStyle w:val="154"/>
        <w:framePr w:h="584" w:hRule="exact" w:hSpace="181" w:vSpace="181" w:wrap="around" w:y="14800"/>
        <w:rPr>
          <w:rFonts w:hint="eastAsia" w:hAnsi="黑体"/>
        </w:rPr>
      </w:pPr>
      <w:r>
        <w:rPr>
          <w:rStyle w:val="232"/>
          <w:rFonts w:hint="eastAsia" w:hAnsi="黑体"/>
          <w:spacing w:val="0"/>
          <w:position w:val="0"/>
        </w:rPr>
        <w:t>中国农药工业协会</w:t>
      </w:r>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2150924">
      <w:pPr>
        <w:pStyle w:val="153"/>
        <w:jc w:val="left"/>
        <w:rPr>
          <w:rFonts w:hint="eastAsia" w:ascii="宋体" w:eastAsia="宋体"/>
          <w:sz w:val="84"/>
          <w:szCs w:val="84"/>
        </w:rPr>
      </w:pPr>
      <w:r>
        <w:rPr>
          <w:rFonts w:hint="eastAsia" w:ascii="宋体" w:eastAsia="宋体"/>
          <w:sz w:val="84"/>
          <w:szCs w:val="84"/>
        </w:rPr>
        <w:t xml:space="preserve"> </w:t>
      </w:r>
      <w:r>
        <w:rPr>
          <w:rFonts w:hint="eastAsia" w:hAnsi="黑体" w:cs="黑体"/>
          <w:sz w:val="84"/>
          <w:szCs w:val="84"/>
        </w:rPr>
        <w:t>团    体    标   准</w:t>
      </w:r>
    </w:p>
    <w:p w14:paraId="6C0C6AAA">
      <w:pPr>
        <w:pStyle w:val="198"/>
        <w:framePr w:x="1440" w:y="3676"/>
        <w:rPr>
          <w:rFonts w:hint="eastAsia"/>
        </w:rPr>
      </w:pPr>
      <w:r>
        <w:t xml:space="preserve">T/CCPIA </w:t>
      </w:r>
      <w:r>
        <w:rPr>
          <w:rFonts w:hint="eastAsia"/>
        </w:rPr>
        <w:t>XXX</w:t>
      </w:r>
      <w:r>
        <w:t>—202</w:t>
      </w:r>
      <w:r>
        <w:rPr>
          <w:rFonts w:hint="eastAsia"/>
        </w:rPr>
        <w:t>X</w:t>
      </w:r>
    </w:p>
    <w:p w14:paraId="3364EBA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418" w:bottom="1134" w:left="1418"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41B03A4F">
      <w:pPr>
        <w:pStyle w:val="92"/>
        <w:spacing w:before="900" w:after="360"/>
      </w:pPr>
      <w:bookmarkStart w:id="0" w:name="BookMark2"/>
      <w:r>
        <w:rPr>
          <w:spacing w:val="320"/>
        </w:rPr>
        <w:t>前</w:t>
      </w:r>
      <w:r>
        <w:t>言</w:t>
      </w:r>
    </w:p>
    <w:p w14:paraId="20B9B2BB">
      <w:pPr>
        <w:pStyle w:val="59"/>
        <w:rPr>
          <w:rFonts w:hint="eastAsia"/>
        </w:rPr>
      </w:pPr>
      <w:r>
        <w:rPr>
          <w:rFonts w:hint="eastAsia"/>
        </w:rPr>
        <w:t>本文件按照</w:t>
      </w:r>
      <w:r>
        <w:rPr>
          <w:rFonts w:ascii="Times New Roman" w:hAnsi="Times New Roman"/>
        </w:rPr>
        <w:t>GB/T</w:t>
      </w:r>
      <w:r>
        <w:rPr>
          <w:rFonts w:hint="eastAsia"/>
        </w:rPr>
        <w:t xml:space="preserve"> 1.1—2020《标准化工作导则  第1部分：标准化文件的结构和起草规则》的规定起草。</w:t>
      </w:r>
    </w:p>
    <w:p w14:paraId="0F0A7519">
      <w:pPr>
        <w:pStyle w:val="235"/>
        <w:rPr>
          <w:rFonts w:ascii="Times New Roman"/>
          <w:color w:val="000000"/>
        </w:rPr>
      </w:pPr>
      <w:r>
        <w:rPr>
          <w:rFonts w:hint="eastAsia" w:ascii="Times New Roman"/>
          <w:color w:val="000000"/>
        </w:rPr>
        <w:t>请注意本文件的某些内容可能涉及专利。本文件的发布机构不承担识别专利的责任。</w:t>
      </w:r>
    </w:p>
    <w:p w14:paraId="1F3AE64C">
      <w:pPr>
        <w:pStyle w:val="59"/>
        <w:rPr>
          <w:rFonts w:hint="eastAsia"/>
        </w:rPr>
      </w:pPr>
      <w:r>
        <w:rPr>
          <w:rFonts w:hint="eastAsia"/>
        </w:rPr>
        <w:t>本文件由中国农药工业协会提出并归口。</w:t>
      </w:r>
    </w:p>
    <w:p w14:paraId="31A1BD83">
      <w:pPr>
        <w:pStyle w:val="59"/>
        <w:rPr>
          <w:rFonts w:hint="eastAsia"/>
        </w:rPr>
      </w:pPr>
      <w:r>
        <w:rPr>
          <w:rFonts w:hint="eastAsia"/>
        </w:rPr>
        <w:t>本文件起草单位：江苏龙灯化学有限公司、深圳雨燕智能科技服务有限公司、北京广源益农化学有限责任公司、拜耳作物科学（中国）有限公司、北京麦飞科技有限公司。</w:t>
      </w:r>
    </w:p>
    <w:p w14:paraId="24F02481">
      <w:pPr>
        <w:pStyle w:val="59"/>
        <w:rPr>
          <w:rFonts w:hint="eastAsia"/>
        </w:rPr>
      </w:pPr>
      <w:r>
        <w:rPr>
          <w:rFonts w:hint="eastAsia"/>
        </w:rPr>
        <w:t>本文件主要起草人：冯秀珍、张龙、张春华、李成立、宋涛、魏增贵。</w:t>
      </w:r>
    </w:p>
    <w:p w14:paraId="2BB54181">
      <w:pPr>
        <w:pStyle w:val="59"/>
        <w:rPr>
          <w:rFonts w:hint="eastAsia"/>
        </w:rPr>
        <w:sectPr>
          <w:headerReference r:id="rId11" w:type="default"/>
          <w:footerReference r:id="rId13" w:type="default"/>
          <w:headerReference r:id="rId12" w:type="even"/>
          <w:footerReference r:id="rId14" w:type="even"/>
          <w:pgSz w:w="11906" w:h="16838"/>
          <w:pgMar w:top="1928" w:right="1418" w:bottom="1134" w:left="1418" w:header="1418" w:footer="1134" w:gutter="284"/>
          <w:pgNumType w:fmt="upperRoman" w:start="1"/>
          <w:cols w:space="425" w:num="1"/>
          <w:formProt w:val="0"/>
          <w:docGrid w:linePitch="312" w:charSpace="0"/>
        </w:sectPr>
      </w:pPr>
    </w:p>
    <w:bookmarkEnd w:id="0"/>
    <w:p w14:paraId="639EC721">
      <w:pPr>
        <w:spacing w:line="20" w:lineRule="exact"/>
        <w:jc w:val="center"/>
        <w:rPr>
          <w:rFonts w:hint="eastAsia" w:ascii="黑体" w:hAnsi="黑体" w:eastAsia="黑体"/>
          <w:sz w:val="32"/>
          <w:szCs w:val="32"/>
        </w:rPr>
      </w:pPr>
      <w:bookmarkStart w:id="1" w:name="BookMark4"/>
    </w:p>
    <w:p w14:paraId="5D4A31F3">
      <w:pPr>
        <w:spacing w:line="20" w:lineRule="exact"/>
        <w:jc w:val="center"/>
        <w:rPr>
          <w:rFonts w:hint="eastAsia" w:ascii="黑体" w:hAnsi="黑体" w:eastAsia="黑体"/>
          <w:sz w:val="32"/>
          <w:szCs w:val="32"/>
        </w:rPr>
      </w:pPr>
    </w:p>
    <w:sdt>
      <w:sdtPr>
        <w:tag w:val="NEW_STAND_NAME"/>
        <w:id w:val="595910757"/>
        <w:lock w:val="sdtLocked"/>
        <w:placeholder>
          <w:docPart w:val="EB8B69FCE18D479889C75F798B59C500"/>
        </w:placeholder>
      </w:sdtPr>
      <w:sdtContent>
        <w:p w14:paraId="026B25E0">
          <w:pPr>
            <w:pStyle w:val="180"/>
            <w:spacing w:before="2" w:beforeLines="1" w:after="528" w:afterLines="220"/>
            <w:rPr>
              <w:rFonts w:hint="eastAsia"/>
            </w:rPr>
          </w:pPr>
          <w:bookmarkStart w:id="2" w:name="NEW_STAND_NAME"/>
          <w:bookmarkStart w:id="3" w:name="_Hlk170742652"/>
          <w:r>
            <w:rPr>
              <w:rFonts w:hint="eastAsia"/>
            </w:rPr>
            <w:t>适用于植保无人飞机的农药桶混液质量评价技术规范</w:t>
          </w:r>
        </w:p>
      </w:sdtContent>
    </w:sdt>
    <w:bookmarkEnd w:id="2"/>
    <w:p w14:paraId="6398B9BF">
      <w:pPr>
        <w:pStyle w:val="107"/>
        <w:spacing w:before="240" w:after="240"/>
      </w:pPr>
      <w:bookmarkStart w:id="4" w:name="_Toc26986771"/>
      <w:bookmarkStart w:id="5" w:name="_Toc97192964"/>
      <w:bookmarkStart w:id="6" w:name="_Toc26986530"/>
      <w:bookmarkStart w:id="7" w:name="_Toc26648465"/>
      <w:bookmarkStart w:id="8" w:name="_Toc24884218"/>
      <w:bookmarkStart w:id="9" w:name="_Toc24884211"/>
      <w:bookmarkStart w:id="10" w:name="_Toc17233325"/>
      <w:bookmarkStart w:id="11" w:name="_Toc26718930"/>
      <w:bookmarkStart w:id="12" w:name="_Toc17233333"/>
      <w:r>
        <w:rPr>
          <w:rFonts w:hint="eastAsia"/>
        </w:rPr>
        <w:t>范围</w:t>
      </w:r>
      <w:bookmarkEnd w:id="4"/>
      <w:bookmarkEnd w:id="5"/>
      <w:bookmarkEnd w:id="6"/>
      <w:bookmarkEnd w:id="7"/>
      <w:bookmarkEnd w:id="8"/>
      <w:bookmarkEnd w:id="9"/>
      <w:bookmarkEnd w:id="10"/>
      <w:bookmarkEnd w:id="11"/>
      <w:bookmarkEnd w:id="12"/>
    </w:p>
    <w:p w14:paraId="609A0EB7">
      <w:pPr>
        <w:pStyle w:val="59"/>
        <w:rPr>
          <w:rFonts w:hint="eastAsia"/>
        </w:rPr>
      </w:pPr>
      <w:bookmarkStart w:id="13" w:name="_Toc17233334"/>
      <w:bookmarkStart w:id="14" w:name="_Toc26648466"/>
      <w:bookmarkStart w:id="15" w:name="_Toc24884219"/>
      <w:bookmarkStart w:id="16" w:name="_Toc17233326"/>
      <w:bookmarkStart w:id="17" w:name="_Toc24884212"/>
      <w:r>
        <w:t>本文件</w:t>
      </w:r>
      <w:r>
        <w:rPr>
          <w:rFonts w:hint="eastAsia"/>
        </w:rPr>
        <w:t>规定了植保无人飞机使用农药桶混液的技术要求、检测方法、检验规则，以及标志、标签、包装、储运。</w:t>
      </w:r>
    </w:p>
    <w:p w14:paraId="11335FEB">
      <w:pPr>
        <w:pStyle w:val="59"/>
        <w:rPr>
          <w:rFonts w:hint="eastAsia"/>
        </w:rPr>
      </w:pPr>
      <w:r>
        <w:rPr>
          <w:rFonts w:hint="eastAsia"/>
        </w:rPr>
        <w:t>本文件适用于植保无人飞机使用农药桶混液的质量控制，也可作为供需双方贸易、合格评定以及管理活动的技术依据。</w:t>
      </w:r>
    </w:p>
    <w:p w14:paraId="5FDBDBB2">
      <w:pPr>
        <w:pStyle w:val="107"/>
        <w:spacing w:before="240" w:after="240"/>
      </w:pPr>
      <w:bookmarkStart w:id="18" w:name="_Toc97192965"/>
      <w:bookmarkStart w:id="19" w:name="_Toc26986531"/>
      <w:bookmarkStart w:id="20" w:name="_Toc26986772"/>
      <w:bookmarkStart w:id="21" w:name="_Toc26718931"/>
      <w:r>
        <w:rPr>
          <w:rFonts w:hint="eastAsia"/>
        </w:rPr>
        <w:t>规范性引用文件</w:t>
      </w:r>
      <w:bookmarkEnd w:id="13"/>
      <w:bookmarkEnd w:id="14"/>
      <w:bookmarkEnd w:id="15"/>
      <w:bookmarkEnd w:id="16"/>
      <w:bookmarkEnd w:id="17"/>
      <w:bookmarkEnd w:id="18"/>
      <w:bookmarkEnd w:id="19"/>
      <w:bookmarkEnd w:id="20"/>
      <w:bookmarkEnd w:id="21"/>
    </w:p>
    <w:sdt>
      <w:sdtPr>
        <w:rPr>
          <w:rFonts w:hint="eastAsia"/>
        </w:rPr>
        <w:id w:val="715848253"/>
        <w:placeholder>
          <w:docPart w:val="148B71B48F22476B9C6AF5C53D17E96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1088374D">
          <w:pPr>
            <w:pStyle w:val="59"/>
            <w:rPr>
              <w:rFonts w:hint="eastAsia"/>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40F792">
      <w:pPr>
        <w:pStyle w:val="59"/>
        <w:rPr>
          <w:rFonts w:hint="eastAsia"/>
        </w:rPr>
      </w:pPr>
      <w:bookmarkStart w:id="22" w:name="_Toc97192966"/>
      <w:r>
        <w:rPr>
          <w:rFonts w:ascii="Times New Roman" w:hAnsi="Times New Roman"/>
        </w:rPr>
        <w:t>GB/T</w:t>
      </w:r>
      <w:r>
        <w:rPr>
          <w:rFonts w:hint="eastAsia"/>
        </w:rPr>
        <w:t xml:space="preserve"> 1601</w:t>
      </w:r>
      <w:r>
        <w:rPr>
          <w:rFonts w:hint="eastAsia"/>
        </w:rPr>
        <w:tab/>
      </w:r>
      <w:r>
        <w:rPr>
          <w:rFonts w:hint="eastAsia"/>
        </w:rPr>
        <w:t xml:space="preserve"> 农药pH值的测定方法</w:t>
      </w:r>
    </w:p>
    <w:p w14:paraId="1C6660E7">
      <w:pPr>
        <w:pStyle w:val="59"/>
        <w:rPr>
          <w:rFonts w:hint="eastAsia"/>
        </w:rPr>
      </w:pPr>
      <w:r>
        <w:rPr>
          <w:rFonts w:hint="eastAsia" w:ascii="Times New Roman" w:hAnsi="Times New Roman"/>
        </w:rPr>
        <w:t>GB/T</w:t>
      </w:r>
      <w:r>
        <w:rPr>
          <w:rFonts w:hint="eastAsia"/>
        </w:rPr>
        <w:t xml:space="preserve"> 8321.1-10</w:t>
      </w:r>
      <w:r>
        <w:rPr>
          <w:rFonts w:hint="eastAsia"/>
        </w:rPr>
        <w:tab/>
      </w:r>
      <w:r>
        <w:rPr>
          <w:rFonts w:hint="eastAsia"/>
        </w:rPr>
        <w:t xml:space="preserve"> 农药合理使用准则</w:t>
      </w:r>
    </w:p>
    <w:p w14:paraId="1EA02EA0">
      <w:pPr>
        <w:pStyle w:val="59"/>
        <w:rPr>
          <w:rFonts w:hint="eastAsia"/>
        </w:rPr>
      </w:pPr>
      <w:r>
        <w:rPr>
          <w:rFonts w:hint="eastAsia" w:ascii="Times New Roman" w:hAnsi="Times New Roman"/>
        </w:rPr>
        <w:t xml:space="preserve">GB/T </w:t>
      </w:r>
      <w:r>
        <w:rPr>
          <w:rFonts w:hint="eastAsia"/>
          <w:bCs/>
        </w:rPr>
        <w:t xml:space="preserve">11983  </w:t>
      </w:r>
      <w:r>
        <w:rPr>
          <w:rFonts w:hint="eastAsia"/>
        </w:rPr>
        <w:t>表面活性剂 润湿力的测定 浸没法</w:t>
      </w:r>
    </w:p>
    <w:p w14:paraId="02296627">
      <w:pPr>
        <w:pStyle w:val="59"/>
        <w:rPr>
          <w:rFonts w:hint="eastAsia"/>
        </w:rPr>
      </w:pPr>
      <w:r>
        <w:rPr>
          <w:rFonts w:hint="eastAsia" w:ascii="Times New Roman" w:hAnsi="Times New Roman"/>
        </w:rPr>
        <w:t xml:space="preserve">GB/T </w:t>
      </w:r>
      <w:r>
        <w:rPr>
          <w:rFonts w:hint="eastAsia"/>
        </w:rPr>
        <w:t>14825</w:t>
      </w:r>
      <w:r>
        <w:rPr>
          <w:rFonts w:hint="eastAsia"/>
        </w:rPr>
        <w:tab/>
      </w:r>
      <w:r>
        <w:rPr>
          <w:rFonts w:hint="eastAsia"/>
        </w:rPr>
        <w:t xml:space="preserve"> 农药悬浮率测定方法</w:t>
      </w:r>
    </w:p>
    <w:p w14:paraId="09409839">
      <w:pPr>
        <w:pStyle w:val="59"/>
        <w:rPr>
          <w:rFonts w:hint="eastAsia"/>
        </w:rPr>
      </w:pPr>
      <w:r>
        <w:rPr>
          <w:rFonts w:hint="eastAsia" w:ascii="Times New Roman" w:hAnsi="Times New Roman"/>
        </w:rPr>
        <w:t xml:space="preserve">GB/T </w:t>
      </w:r>
      <w:r>
        <w:rPr>
          <w:rFonts w:hint="eastAsia"/>
        </w:rPr>
        <w:t>1</w:t>
      </w:r>
      <w:r>
        <w:t xml:space="preserve">9137  </w:t>
      </w:r>
      <w:r>
        <w:rPr>
          <w:rFonts w:hint="eastAsia"/>
        </w:rPr>
        <w:t>农药低温稳定性测定方法</w:t>
      </w:r>
    </w:p>
    <w:p w14:paraId="0E1C8313">
      <w:pPr>
        <w:pStyle w:val="59"/>
        <w:rPr>
          <w:rFonts w:hint="eastAsia"/>
        </w:rPr>
      </w:pPr>
      <w:r>
        <w:rPr>
          <w:rFonts w:hint="eastAsia" w:ascii="Times New Roman" w:hAnsi="Times New Roman"/>
        </w:rPr>
        <w:t>GB/T</w:t>
      </w:r>
      <w:r>
        <w:rPr>
          <w:rFonts w:hint="eastAsia"/>
        </w:rPr>
        <w:t xml:space="preserve"> 22237</w:t>
      </w:r>
      <w:r>
        <w:rPr>
          <w:rFonts w:hint="eastAsia"/>
        </w:rPr>
        <w:tab/>
      </w:r>
      <w:r>
        <w:rPr>
          <w:rFonts w:hint="eastAsia"/>
        </w:rPr>
        <w:t xml:space="preserve"> 表面活性剂表面张力的测定</w:t>
      </w:r>
    </w:p>
    <w:p w14:paraId="76DD3B7E">
      <w:pPr>
        <w:pStyle w:val="59"/>
        <w:rPr>
          <w:rFonts w:hint="eastAsia"/>
        </w:rPr>
      </w:pPr>
      <w:r>
        <w:rPr>
          <w:rFonts w:hint="eastAsia" w:ascii="Times New Roman" w:hAnsi="Times New Roman"/>
        </w:rPr>
        <w:t>G</w:t>
      </w:r>
      <w:r>
        <w:rPr>
          <w:rFonts w:ascii="Times New Roman" w:hAnsi="Times New Roman"/>
        </w:rPr>
        <w:t>B</w:t>
      </w:r>
      <w:r>
        <w:rPr>
          <w:rFonts w:hint="eastAsia" w:ascii="Times New Roman" w:hAnsi="Times New Roman"/>
        </w:rPr>
        <w:t>/T</w:t>
      </w:r>
      <w:r>
        <w:rPr>
          <w:rFonts w:hint="eastAsia"/>
          <w:szCs w:val="21"/>
        </w:rPr>
        <w:t xml:space="preserve"> 28137</w:t>
      </w:r>
      <w:r>
        <w:rPr>
          <w:szCs w:val="21"/>
        </w:rPr>
        <w:t xml:space="preserve"> </w:t>
      </w:r>
      <w:r>
        <w:rPr>
          <w:rFonts w:hint="eastAsia"/>
          <w:szCs w:val="21"/>
        </w:rPr>
        <w:t xml:space="preserve"> 农药持久起泡性测定方法进行。</w:t>
      </w:r>
    </w:p>
    <w:p w14:paraId="20404C4C">
      <w:pPr>
        <w:pStyle w:val="59"/>
        <w:rPr>
          <w:rFonts w:hint="eastAsia"/>
        </w:rPr>
      </w:pPr>
      <w:r>
        <w:rPr>
          <w:rFonts w:hint="eastAsia" w:ascii="Times New Roman" w:hAnsi="Times New Roman"/>
        </w:rPr>
        <w:t>GB</w:t>
      </w:r>
      <w:r>
        <w:rPr>
          <w:rFonts w:ascii="Times New Roman" w:hAnsi="Times New Roman"/>
        </w:rPr>
        <w:t>/</w:t>
      </w:r>
      <w:r>
        <w:rPr>
          <w:rFonts w:hint="eastAsia" w:ascii="Times New Roman" w:hAnsi="Times New Roman"/>
        </w:rPr>
        <w:t>T</w:t>
      </w:r>
      <w:r>
        <w:rPr>
          <w:rFonts w:hint="eastAsia"/>
        </w:rPr>
        <w:t xml:space="preserve"> 32775  农药分散性测定方法</w:t>
      </w:r>
    </w:p>
    <w:p w14:paraId="5DBBB0B0">
      <w:pPr>
        <w:pStyle w:val="59"/>
        <w:rPr>
          <w:rFonts w:hint="eastAsia"/>
        </w:rPr>
      </w:pPr>
      <w:r>
        <w:rPr>
          <w:rFonts w:hint="eastAsia" w:ascii="Times New Roman" w:hAnsi="Times New Roman"/>
        </w:rPr>
        <w:t>GB/T</w:t>
      </w:r>
      <w:r>
        <w:rPr>
          <w:rFonts w:hint="eastAsia"/>
        </w:rPr>
        <w:t xml:space="preserve"> 47202  农药分散稳定性测定方法</w:t>
      </w:r>
    </w:p>
    <w:p w14:paraId="047628CE">
      <w:pPr>
        <w:pStyle w:val="59"/>
        <w:rPr>
          <w:rFonts w:hint="eastAsia"/>
        </w:rPr>
      </w:pPr>
      <w:r>
        <w:rPr>
          <w:rFonts w:hint="eastAsia" w:ascii="Times New Roman"/>
        </w:rPr>
        <w:t xml:space="preserve">T/CCPIA </w:t>
      </w:r>
      <w:r>
        <w:rPr>
          <w:rFonts w:hint="eastAsia"/>
        </w:rPr>
        <w:t>171 润湿性桶混助剂施用限量及评价方法</w:t>
      </w:r>
    </w:p>
    <w:p w14:paraId="28297781">
      <w:pPr>
        <w:pStyle w:val="107"/>
        <w:spacing w:before="240" w:after="240"/>
      </w:pPr>
      <w:r>
        <w:rPr>
          <w:rFonts w:hint="eastAsia"/>
        </w:rPr>
        <w:t>术语和定义</w:t>
      </w:r>
      <w:bookmarkEnd w:id="22"/>
    </w:p>
    <w:sdt>
      <w:sdtPr>
        <w:rPr>
          <w:rFonts w:ascii="Times New Roman" w:hAnsi="Times New Roman"/>
        </w:rPr>
        <w:id w:val="-1909835108"/>
        <w:placeholder>
          <w:docPart w:val="57E1D718716344C7A39C660D2FA202E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hAnsi="Times New Roman"/>
        </w:rPr>
      </w:sdtEndPr>
      <w:sdtContent>
        <w:p w14:paraId="59DA644E">
          <w:pPr>
            <w:pStyle w:val="59"/>
            <w:rPr>
              <w:rFonts w:hint="eastAsia"/>
            </w:rPr>
          </w:pPr>
          <w:bookmarkStart w:id="23" w:name="_Toc26986532"/>
          <w:bookmarkEnd w:id="23"/>
          <w:r>
            <w:t>下列术语和定义适用于本文件。</w:t>
          </w:r>
        </w:p>
      </w:sdtContent>
    </w:sdt>
    <w:p w14:paraId="2A46F960">
      <w:pPr>
        <w:pStyle w:val="226"/>
        <w:ind w:left="0"/>
      </w:pPr>
      <w:r>
        <w:rPr>
          <w:rFonts w:ascii="黑体" w:hAnsi="黑体" w:eastAsia="黑体"/>
        </w:rPr>
        <w:br w:type="textWrapping"/>
      </w:r>
      <w:r>
        <w:rPr>
          <w:rFonts w:hint="eastAsia" w:ascii="黑体" w:hAnsi="黑体" w:eastAsia="黑体"/>
        </w:rPr>
        <w:t xml:space="preserve">   农药桶混液 </w:t>
      </w:r>
      <w:r>
        <w:rPr>
          <w:rFonts w:hint="eastAsia" w:ascii="Times New Roman" w:eastAsia="黑体"/>
          <w:b/>
          <w:bCs/>
        </w:rPr>
        <w:t>pesticide mixin</w:t>
      </w:r>
    </w:p>
    <w:p w14:paraId="61E32494">
      <w:pPr>
        <w:pStyle w:val="235"/>
      </w:pPr>
      <w:r>
        <w:rPr>
          <w:rFonts w:hint="eastAsia"/>
        </w:rPr>
        <w:t>两种或两种以上不同农药产品、植保助剂、可溶性肥料等分别按比例桶混，供植保无人飞机防治作业使用的混合液体。</w:t>
      </w:r>
    </w:p>
    <w:p w14:paraId="5BEB5D84">
      <w:pPr>
        <w:pStyle w:val="226"/>
        <w:ind w:left="0"/>
      </w:pPr>
    </w:p>
    <w:p w14:paraId="6F6F7415">
      <w:pPr>
        <w:pStyle w:val="59"/>
        <w:rPr>
          <w:rFonts w:hint="eastAsia"/>
        </w:rPr>
      </w:pPr>
      <w:r>
        <w:rPr>
          <w:rFonts w:hint="eastAsia" w:ascii="黑体" w:hAnsi="黑体" w:eastAsia="黑体"/>
        </w:rPr>
        <w:t xml:space="preserve">分散性 </w:t>
      </w:r>
      <w:bookmarkStart w:id="24" w:name="OLE_LINK6"/>
      <w:r>
        <w:rPr>
          <w:rFonts w:hint="eastAsia" w:ascii="Times New Roman" w:hAnsi="Times New Roman" w:eastAsia="黑体"/>
          <w:b/>
          <w:bCs/>
        </w:rPr>
        <w:t>dispersbility</w:t>
      </w:r>
      <w:bookmarkEnd w:id="24"/>
    </w:p>
    <w:p w14:paraId="21C52F62">
      <w:pPr>
        <w:pStyle w:val="241"/>
        <w:spacing w:beforeLines="0" w:afterLines="0"/>
        <w:ind w:firstLine="420" w:firstLineChars="200"/>
        <w:rPr>
          <w:rFonts w:hint="eastAsia" w:ascii="宋体" w:eastAsia="宋体"/>
          <w:szCs w:val="20"/>
        </w:rPr>
      </w:pPr>
      <w:r>
        <w:rPr>
          <w:rFonts w:hint="eastAsia" w:ascii="宋体" w:eastAsia="宋体"/>
          <w:szCs w:val="20"/>
        </w:rPr>
        <w:t>农药桶混液经稀释充分搅拌后能够迅速分散成细小粒子并均匀悬浮于水中，且在一定时间内不产生大量沉淀、絮凝或结块的性能。</w:t>
      </w:r>
    </w:p>
    <w:p w14:paraId="4045903F">
      <w:pPr>
        <w:pStyle w:val="226"/>
        <w:ind w:left="420" w:hanging="420" w:hangingChars="200"/>
        <w:rPr>
          <w:rFonts w:ascii="Times New Roman" w:eastAsia="黑体"/>
          <w:b/>
          <w:bCs/>
        </w:rPr>
      </w:pPr>
      <w:r>
        <w:rPr>
          <w:rFonts w:hint="eastAsia" w:ascii="黑体" w:hAnsi="黑体" w:eastAsia="黑体"/>
        </w:rPr>
        <w:br w:type="textWrapping"/>
      </w:r>
      <w:r>
        <w:rPr>
          <w:rFonts w:hint="eastAsia" w:ascii="黑体" w:hAnsi="黑体" w:eastAsia="黑体"/>
        </w:rPr>
        <w:t xml:space="preserve">分散稳定性 </w:t>
      </w:r>
      <w:r>
        <w:rPr>
          <w:rFonts w:hint="eastAsia" w:ascii="Times New Roman" w:eastAsia="黑体"/>
          <w:b/>
          <w:bCs/>
        </w:rPr>
        <w:t>dispersbility stability</w:t>
      </w:r>
    </w:p>
    <w:p w14:paraId="519E46C8">
      <w:pPr>
        <w:pStyle w:val="235"/>
        <w:rPr>
          <w:rFonts w:hint="eastAsia"/>
        </w:rPr>
      </w:pPr>
      <w:r>
        <w:rPr>
          <w:rFonts w:hint="eastAsia"/>
        </w:rPr>
        <w:t>农药桶混液经充分搅拌并静止一段时间后仍然能够保持</w:t>
      </w:r>
      <w:r>
        <w:rPr>
          <w:rFonts w:hint="eastAsia" w:hAnsi="宋体"/>
        </w:rPr>
        <w:t>不产生大量沉淀、絮凝或结块的性能</w:t>
      </w:r>
      <w:r>
        <w:rPr>
          <w:rFonts w:hint="eastAsia"/>
        </w:rPr>
        <w:t>。</w:t>
      </w:r>
    </w:p>
    <w:p w14:paraId="24B78FDB">
      <w:pPr>
        <w:pStyle w:val="107"/>
        <w:spacing w:before="240" w:after="240"/>
      </w:pPr>
      <w:r>
        <w:rPr>
          <w:rFonts w:hint="eastAsia"/>
        </w:rPr>
        <w:t>一般要求</w:t>
      </w:r>
    </w:p>
    <w:p w14:paraId="786F38F6">
      <w:pPr>
        <w:pStyle w:val="165"/>
        <w:ind w:left="0"/>
      </w:pPr>
      <w:r>
        <w:rPr>
          <w:rFonts w:hint="eastAsia"/>
        </w:rPr>
        <w:t>适用于</w:t>
      </w:r>
      <w:r>
        <w:rPr>
          <w:rFonts w:hint="eastAsia" w:hAnsi="宋体"/>
          <w:szCs w:val="52"/>
        </w:rPr>
        <w:t>植保无人飞机的农药桶混液</w:t>
      </w:r>
      <w:r>
        <w:rPr>
          <w:rFonts w:hAnsi="宋体"/>
        </w:rPr>
        <w:t>不得含有国家禁用的成分</w:t>
      </w:r>
      <w:r>
        <w:rPr>
          <w:rFonts w:hint="eastAsia" w:hAnsi="宋体"/>
        </w:rPr>
        <w:t>。</w:t>
      </w:r>
    </w:p>
    <w:p w14:paraId="4846F328">
      <w:pPr>
        <w:pStyle w:val="165"/>
        <w:ind w:left="0"/>
      </w:pPr>
      <w:r>
        <w:rPr>
          <w:rFonts w:hint="eastAsia"/>
        </w:rPr>
        <w:t>适用于</w:t>
      </w:r>
      <w:r>
        <w:rPr>
          <w:rFonts w:hint="eastAsia" w:hAnsi="宋体"/>
          <w:szCs w:val="52"/>
        </w:rPr>
        <w:t>植保无人飞机的农药桶混液</w:t>
      </w:r>
      <w:r>
        <w:rPr>
          <w:rFonts w:hint="eastAsia" w:hAnsi="宋体"/>
        </w:rPr>
        <w:t>所选药剂应符合国家相关政策法规及技术标准要求，相关药剂使用应符合</w:t>
      </w:r>
      <w:r>
        <w:rPr>
          <w:rFonts w:ascii="Times New Roman"/>
        </w:rPr>
        <w:t>NY/T</w:t>
      </w:r>
      <w:r>
        <w:rPr>
          <w:rFonts w:hint="eastAsia" w:ascii="Times New Roman"/>
        </w:rPr>
        <w:t xml:space="preserve"> </w:t>
      </w:r>
      <w:r>
        <w:rPr>
          <w:rFonts w:hAnsi="宋体"/>
        </w:rPr>
        <w:t>1267</w:t>
      </w:r>
      <w:r>
        <w:rPr>
          <w:rFonts w:hint="eastAsia" w:hAnsi="宋体"/>
        </w:rPr>
        <w:t>和</w:t>
      </w:r>
      <w:r>
        <w:rPr>
          <w:rFonts w:ascii="Times New Roman"/>
        </w:rPr>
        <w:t>GB/T</w:t>
      </w:r>
      <w:r>
        <w:rPr>
          <w:rFonts w:hint="eastAsia" w:ascii="Times New Roman"/>
        </w:rPr>
        <w:t xml:space="preserve"> </w:t>
      </w:r>
      <w:r>
        <w:rPr>
          <w:rFonts w:hAnsi="宋体"/>
        </w:rPr>
        <w:t>8321.1</w:t>
      </w:r>
      <w:r>
        <w:rPr>
          <w:rFonts w:hint="eastAsia" w:hAnsi="宋体"/>
        </w:rPr>
        <w:t>—</w:t>
      </w:r>
      <w:r>
        <w:rPr>
          <w:rFonts w:hAnsi="宋体"/>
        </w:rPr>
        <w:t>10</w:t>
      </w:r>
      <w:r>
        <w:rPr>
          <w:rFonts w:hint="eastAsia" w:hAnsi="宋体"/>
        </w:rPr>
        <w:t>标准的要求。</w:t>
      </w:r>
    </w:p>
    <w:p w14:paraId="0FA5D1AD">
      <w:pPr>
        <w:pStyle w:val="107"/>
        <w:spacing w:before="240" w:after="240"/>
        <w:rPr>
          <w:color w:val="FF0000"/>
        </w:rPr>
      </w:pPr>
      <w:r>
        <w:rPr>
          <w:rFonts w:hint="eastAsia"/>
        </w:rPr>
        <w:t xml:space="preserve">质量要求  </w:t>
      </w:r>
    </w:p>
    <w:p w14:paraId="67698B99">
      <w:pPr>
        <w:pStyle w:val="108"/>
      </w:pPr>
      <w:r>
        <w:rPr>
          <w:rFonts w:hint="eastAsia"/>
        </w:rPr>
        <w:t>技术指标</w:t>
      </w:r>
    </w:p>
    <w:p w14:paraId="08C9BAFA">
      <w:pPr>
        <w:pStyle w:val="165"/>
        <w:numPr>
          <w:ilvl w:val="0"/>
          <w:numId w:val="0"/>
        </w:numPr>
        <w:ind w:left="420"/>
        <w:rPr>
          <w:rFonts w:hint="eastAsia" w:hAnsi="宋体"/>
        </w:rPr>
      </w:pPr>
      <w:r>
        <w:rPr>
          <w:rFonts w:hint="eastAsia"/>
        </w:rPr>
        <w:t>适用于</w:t>
      </w:r>
      <w:r>
        <w:rPr>
          <w:rFonts w:hint="eastAsia" w:hAnsi="宋体"/>
          <w:szCs w:val="52"/>
        </w:rPr>
        <w:t>植保无人飞机的农药桶混液</w:t>
      </w:r>
      <w:r>
        <w:rPr>
          <w:rFonts w:hint="eastAsia" w:hAnsi="宋体"/>
        </w:rPr>
        <w:t>质量应符合表1要求。</w:t>
      </w:r>
    </w:p>
    <w:p w14:paraId="3DB936FC">
      <w:pPr>
        <w:pStyle w:val="115"/>
        <w:rPr>
          <w:rFonts w:ascii="Times New Roman"/>
        </w:rPr>
      </w:pPr>
      <w:r>
        <w:rPr>
          <w:rFonts w:hint="eastAsia" w:ascii="Times New Roman"/>
        </w:rPr>
        <w:t>适用于植保无人飞机的农药桶混液质量控制项目指标</w:t>
      </w:r>
    </w:p>
    <w:tbl>
      <w:tblPr>
        <w:tblStyle w:val="28"/>
        <w:tblW w:w="0" w:type="auto"/>
        <w:jc w:val="center"/>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Layout w:type="fixed"/>
        <w:tblCellMar>
          <w:top w:w="0" w:type="dxa"/>
          <w:left w:w="0" w:type="dxa"/>
          <w:bottom w:w="0" w:type="dxa"/>
          <w:right w:w="0" w:type="dxa"/>
        </w:tblCellMar>
      </w:tblPr>
      <w:tblGrid>
        <w:gridCol w:w="1413"/>
        <w:gridCol w:w="3402"/>
        <w:gridCol w:w="3822"/>
      </w:tblGrid>
      <w:tr w14:paraId="3B4409B2">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11" w:hRule="atLeast"/>
          <w:jc w:val="center"/>
        </w:trPr>
        <w:tc>
          <w:tcPr>
            <w:tcW w:w="4815" w:type="dxa"/>
            <w:gridSpan w:val="2"/>
            <w:tcBorders>
              <w:top w:val="single" w:color="000000" w:sz="8" w:space="0"/>
              <w:left w:val="single" w:color="000000" w:sz="8" w:space="0"/>
              <w:bottom w:val="single" w:color="000000" w:sz="8" w:space="0"/>
              <w:right w:val="single" w:color="000000" w:sz="8" w:space="0"/>
            </w:tcBorders>
            <w:vAlign w:val="center"/>
          </w:tcPr>
          <w:p w14:paraId="4AEC13E3">
            <w:pPr>
              <w:snapToGrid w:val="0"/>
              <w:spacing w:before="72" w:beforeLines="30" w:after="100" w:afterAutospacing="1" w:line="240" w:lineRule="auto"/>
              <w:ind w:left="283" w:leftChars="135"/>
              <w:jc w:val="center"/>
              <w:rPr>
                <w:rFonts w:hint="eastAsia" w:ascii="宋体" w:hAnsi="宋体"/>
                <w:sz w:val="18"/>
                <w:szCs w:val="18"/>
              </w:rPr>
            </w:pPr>
            <w:r>
              <w:rPr>
                <w:rFonts w:ascii="宋体" w:hAnsi="宋体"/>
                <w:sz w:val="18"/>
                <w:szCs w:val="18"/>
              </w:rPr>
              <w:t>项目</w:t>
            </w:r>
          </w:p>
        </w:tc>
        <w:tc>
          <w:tcPr>
            <w:tcW w:w="3822" w:type="dxa"/>
            <w:tcBorders>
              <w:top w:val="single" w:color="000000" w:sz="8" w:space="0"/>
              <w:left w:val="single" w:color="000000" w:sz="8" w:space="0"/>
              <w:bottom w:val="single" w:color="000000" w:sz="8" w:space="0"/>
              <w:right w:val="single" w:color="000000" w:sz="8" w:space="0"/>
            </w:tcBorders>
            <w:vAlign w:val="center"/>
          </w:tcPr>
          <w:p w14:paraId="5DC3CAB2">
            <w:pPr>
              <w:snapToGrid w:val="0"/>
              <w:spacing w:before="72" w:beforeLines="30" w:after="100" w:afterAutospacing="1" w:line="240" w:lineRule="auto"/>
              <w:ind w:left="283" w:leftChars="135"/>
              <w:jc w:val="center"/>
              <w:rPr>
                <w:rFonts w:hint="eastAsia" w:ascii="宋体" w:hAnsi="宋体"/>
                <w:sz w:val="18"/>
                <w:szCs w:val="18"/>
              </w:rPr>
            </w:pPr>
            <w:r>
              <w:rPr>
                <w:rFonts w:ascii="宋体" w:hAnsi="宋体"/>
                <w:sz w:val="18"/>
                <w:szCs w:val="18"/>
              </w:rPr>
              <w:t>指标</w:t>
            </w:r>
          </w:p>
        </w:tc>
      </w:tr>
      <w:tr w14:paraId="6F8757F1">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457" w:hRule="atLeast"/>
          <w:jc w:val="center"/>
        </w:trPr>
        <w:tc>
          <w:tcPr>
            <w:tcW w:w="4815" w:type="dxa"/>
            <w:gridSpan w:val="2"/>
            <w:tcBorders>
              <w:top w:val="single" w:color="000000" w:sz="8" w:space="0"/>
              <w:left w:val="single" w:color="000000" w:sz="8" w:space="0"/>
              <w:bottom w:val="single" w:color="000000" w:sz="8" w:space="0"/>
              <w:right w:val="single" w:color="000000" w:sz="8" w:space="0"/>
            </w:tcBorders>
            <w:vAlign w:val="center"/>
          </w:tcPr>
          <w:p w14:paraId="3C34D53F">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ascii="宋体" w:hAnsi="宋体"/>
                <w:sz w:val="18"/>
                <w:szCs w:val="18"/>
              </w:rPr>
              <w:t>外观</w:t>
            </w:r>
          </w:p>
        </w:tc>
        <w:tc>
          <w:tcPr>
            <w:tcW w:w="3822" w:type="dxa"/>
            <w:tcBorders>
              <w:top w:val="single" w:color="000000" w:sz="8" w:space="0"/>
              <w:left w:val="single" w:color="000000" w:sz="8" w:space="0"/>
              <w:bottom w:val="single" w:color="000000" w:sz="8" w:space="0"/>
              <w:right w:val="single" w:color="000000" w:sz="8" w:space="0"/>
            </w:tcBorders>
            <w:vAlign w:val="center"/>
          </w:tcPr>
          <w:p w14:paraId="51E594B9">
            <w:pPr>
              <w:snapToGrid w:val="0"/>
              <w:spacing w:before="120" w:beforeLines="50" w:after="100" w:afterAutospacing="1" w:line="240" w:lineRule="auto"/>
              <w:ind w:left="283" w:leftChars="135"/>
              <w:jc w:val="center"/>
              <w:rPr>
                <w:rFonts w:hint="eastAsia" w:ascii="宋体" w:hAnsi="宋体"/>
                <w:sz w:val="18"/>
                <w:szCs w:val="18"/>
              </w:rPr>
            </w:pPr>
            <w:r>
              <w:rPr>
                <w:rFonts w:hint="eastAsia" w:ascii="宋体" w:hAnsi="宋体"/>
                <w:sz w:val="18"/>
                <w:szCs w:val="18"/>
              </w:rPr>
              <w:t xml:space="preserve"> 应是可流动、易测量体积、稳定均一的悬浮状均相液体</w:t>
            </w:r>
          </w:p>
        </w:tc>
      </w:tr>
      <w:tr w14:paraId="3650D1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66" w:hRule="atLeast"/>
          <w:jc w:val="center"/>
        </w:trPr>
        <w:tc>
          <w:tcPr>
            <w:tcW w:w="4815" w:type="dxa"/>
            <w:gridSpan w:val="2"/>
            <w:tcBorders>
              <w:top w:val="single" w:color="000000" w:sz="8" w:space="0"/>
              <w:left w:val="single" w:color="000000" w:sz="8" w:space="0"/>
              <w:bottom w:val="single" w:color="000000" w:sz="8" w:space="0"/>
              <w:right w:val="single" w:color="000000" w:sz="8" w:space="0"/>
            </w:tcBorders>
            <w:vAlign w:val="center"/>
          </w:tcPr>
          <w:p w14:paraId="3645B77B">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ascii="宋体" w:hAnsi="宋体"/>
                <w:sz w:val="18"/>
                <w:szCs w:val="18"/>
              </w:rPr>
              <w:t>悬浮率</w:t>
            </w:r>
            <w:r>
              <w:rPr>
                <w:rFonts w:hint="eastAsia" w:ascii="宋体" w:hAnsi="宋体"/>
                <w:sz w:val="18"/>
                <w:szCs w:val="18"/>
              </w:rPr>
              <w:t>/%                                       ≥</w:t>
            </w:r>
          </w:p>
        </w:tc>
        <w:tc>
          <w:tcPr>
            <w:tcW w:w="3822" w:type="dxa"/>
            <w:tcBorders>
              <w:top w:val="single" w:color="000000" w:sz="8" w:space="0"/>
              <w:left w:val="single" w:color="000000" w:sz="8" w:space="0"/>
              <w:bottom w:val="single" w:color="000000" w:sz="8" w:space="0"/>
              <w:right w:val="single" w:color="000000" w:sz="8" w:space="0"/>
            </w:tcBorders>
            <w:vAlign w:val="center"/>
          </w:tcPr>
          <w:p w14:paraId="2B9CB823">
            <w:pPr>
              <w:snapToGrid w:val="0"/>
              <w:spacing w:before="120" w:beforeLines="50" w:after="100" w:afterAutospacing="1" w:line="240" w:lineRule="auto"/>
              <w:ind w:left="283" w:leftChars="135"/>
              <w:jc w:val="center"/>
              <w:rPr>
                <w:rFonts w:hint="eastAsia" w:ascii="宋体" w:hAnsi="宋体"/>
                <w:sz w:val="18"/>
                <w:szCs w:val="18"/>
              </w:rPr>
            </w:pPr>
            <w:r>
              <w:rPr>
                <w:rFonts w:ascii="宋体" w:hAnsi="宋体"/>
                <w:sz w:val="18"/>
                <w:szCs w:val="18"/>
              </w:rPr>
              <w:t>90</w:t>
            </w:r>
          </w:p>
        </w:tc>
      </w:tr>
      <w:tr w14:paraId="223AF90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4815" w:type="dxa"/>
            <w:gridSpan w:val="2"/>
            <w:tcBorders>
              <w:top w:val="single" w:color="000000" w:sz="8" w:space="0"/>
              <w:left w:val="single" w:color="000000" w:sz="8" w:space="0"/>
              <w:bottom w:val="single" w:color="000000" w:sz="8" w:space="0"/>
              <w:right w:val="single" w:color="000000" w:sz="8" w:space="0"/>
            </w:tcBorders>
            <w:vAlign w:val="center"/>
          </w:tcPr>
          <w:p w14:paraId="556F1FB4">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hint="eastAsia" w:ascii="宋体" w:hAnsi="宋体"/>
                <w:sz w:val="18"/>
                <w:szCs w:val="18"/>
              </w:rPr>
              <w:t>湿筛/</w:t>
            </w:r>
            <w:r>
              <w:rPr>
                <w:rFonts w:ascii="宋体" w:hAnsi="宋体"/>
                <w:sz w:val="18"/>
                <w:szCs w:val="18"/>
              </w:rPr>
              <w:t xml:space="preserve">%（45μm，325目筛）    </w:t>
            </w:r>
            <w:r>
              <w:rPr>
                <w:rFonts w:hint="eastAsia" w:ascii="宋体" w:hAnsi="宋体"/>
                <w:sz w:val="18"/>
                <w:szCs w:val="18"/>
              </w:rPr>
              <w:t xml:space="preserve">                  </w:t>
            </w:r>
            <w:bookmarkStart w:id="25" w:name="OLE_LINK2"/>
            <w:r>
              <w:rPr>
                <w:rFonts w:hint="eastAsia" w:ascii="宋体" w:hAnsi="宋体"/>
                <w:sz w:val="18"/>
                <w:szCs w:val="18"/>
              </w:rPr>
              <w:t>≥</w:t>
            </w:r>
            <w:bookmarkEnd w:id="25"/>
          </w:p>
        </w:tc>
        <w:tc>
          <w:tcPr>
            <w:tcW w:w="3822" w:type="dxa"/>
            <w:tcBorders>
              <w:top w:val="single" w:color="000000" w:sz="8" w:space="0"/>
              <w:left w:val="single" w:color="000000" w:sz="8" w:space="0"/>
              <w:bottom w:val="single" w:color="000000" w:sz="8" w:space="0"/>
              <w:right w:val="single" w:color="000000" w:sz="8" w:space="0"/>
            </w:tcBorders>
            <w:vAlign w:val="center"/>
          </w:tcPr>
          <w:p w14:paraId="23201E66">
            <w:pPr>
              <w:snapToGrid w:val="0"/>
              <w:spacing w:before="120" w:beforeLines="50" w:after="100" w:afterAutospacing="1" w:line="240" w:lineRule="auto"/>
              <w:ind w:left="283" w:leftChars="135"/>
              <w:jc w:val="center"/>
              <w:rPr>
                <w:rFonts w:hint="eastAsia" w:ascii="宋体" w:hAnsi="宋体"/>
                <w:sz w:val="18"/>
                <w:szCs w:val="18"/>
              </w:rPr>
            </w:pPr>
            <w:r>
              <w:rPr>
                <w:rFonts w:ascii="宋体" w:hAnsi="宋体"/>
                <w:sz w:val="18"/>
                <w:szCs w:val="18"/>
              </w:rPr>
              <w:t>99</w:t>
            </w:r>
          </w:p>
        </w:tc>
      </w:tr>
      <w:tr w14:paraId="75D3E51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4815" w:type="dxa"/>
            <w:gridSpan w:val="2"/>
            <w:tcBorders>
              <w:top w:val="single" w:color="000000" w:sz="8" w:space="0"/>
              <w:left w:val="single" w:color="000000" w:sz="8" w:space="0"/>
              <w:bottom w:val="single" w:color="000000" w:sz="8" w:space="0"/>
              <w:right w:val="single" w:color="000000" w:sz="8" w:space="0"/>
            </w:tcBorders>
            <w:vAlign w:val="center"/>
          </w:tcPr>
          <w:p w14:paraId="4B6FA648">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ascii="宋体" w:hAnsi="宋体"/>
                <w:sz w:val="18"/>
                <w:szCs w:val="18"/>
              </w:rPr>
              <w:t>p</w:t>
            </w:r>
            <w:r>
              <w:rPr>
                <w:rFonts w:hint="eastAsia" w:ascii="宋体" w:hAnsi="宋体"/>
                <w:sz w:val="18"/>
                <w:szCs w:val="18"/>
              </w:rPr>
              <w:t>H 值范围（ 二次稀释桶混液）</w:t>
            </w:r>
          </w:p>
        </w:tc>
        <w:tc>
          <w:tcPr>
            <w:tcW w:w="3822" w:type="dxa"/>
            <w:tcBorders>
              <w:top w:val="single" w:color="000000" w:sz="8" w:space="0"/>
              <w:left w:val="single" w:color="000000" w:sz="8" w:space="0"/>
              <w:bottom w:val="single" w:color="000000" w:sz="8" w:space="0"/>
              <w:right w:val="single" w:color="000000" w:sz="8" w:space="0"/>
            </w:tcBorders>
            <w:vAlign w:val="center"/>
          </w:tcPr>
          <w:p w14:paraId="154AE8DB">
            <w:pPr>
              <w:snapToGrid w:val="0"/>
              <w:spacing w:before="120" w:beforeLines="50" w:after="100" w:afterAutospacing="1" w:line="240" w:lineRule="auto"/>
              <w:ind w:left="283" w:leftChars="135"/>
              <w:jc w:val="center"/>
              <w:rPr>
                <w:rFonts w:hint="eastAsia" w:ascii="宋体" w:hAnsi="宋体"/>
                <w:sz w:val="18"/>
                <w:szCs w:val="18"/>
              </w:rPr>
            </w:pPr>
            <w:r>
              <w:rPr>
                <w:rFonts w:hint="eastAsia" w:ascii="宋体" w:hAnsi="宋体"/>
                <w:sz w:val="18"/>
                <w:szCs w:val="18"/>
              </w:rPr>
              <w:t>5</w:t>
            </w:r>
            <w:r>
              <w:rPr>
                <w:rFonts w:ascii="宋体" w:hAnsi="宋体"/>
                <w:sz w:val="18"/>
                <w:szCs w:val="18"/>
              </w:rPr>
              <w:t>.0</w:t>
            </w:r>
            <w:r>
              <w:rPr>
                <w:rFonts w:hint="eastAsia" w:ascii="宋体" w:hAnsi="宋体"/>
                <w:sz w:val="18"/>
                <w:szCs w:val="18"/>
              </w:rPr>
              <w:t>～8</w:t>
            </w:r>
            <w:r>
              <w:rPr>
                <w:rFonts w:ascii="宋体" w:hAnsi="宋体"/>
                <w:sz w:val="18"/>
                <w:szCs w:val="18"/>
              </w:rPr>
              <w:t>.0</w:t>
            </w:r>
          </w:p>
        </w:tc>
      </w:tr>
      <w:tr w14:paraId="289DB5BD">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296" w:hRule="atLeast"/>
          <w:jc w:val="center"/>
        </w:trPr>
        <w:tc>
          <w:tcPr>
            <w:tcW w:w="4815" w:type="dxa"/>
            <w:gridSpan w:val="2"/>
            <w:tcBorders>
              <w:top w:val="single" w:color="000000" w:sz="8" w:space="0"/>
              <w:left w:val="single" w:color="000000" w:sz="8" w:space="0"/>
              <w:bottom w:val="single" w:color="000000" w:sz="8" w:space="0"/>
              <w:right w:val="single" w:color="000000" w:sz="8" w:space="0"/>
            </w:tcBorders>
            <w:vAlign w:val="center"/>
          </w:tcPr>
          <w:p w14:paraId="5D085A6D">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hint="eastAsia" w:ascii="宋体" w:hAnsi="宋体"/>
                <w:sz w:val="18"/>
                <w:szCs w:val="18"/>
              </w:rPr>
              <w:t>持久起泡性（1 min后泡沫量）/ mL               ≤</w:t>
            </w:r>
          </w:p>
        </w:tc>
        <w:tc>
          <w:tcPr>
            <w:tcW w:w="3822" w:type="dxa"/>
            <w:tcBorders>
              <w:top w:val="single" w:color="000000" w:sz="8" w:space="0"/>
              <w:left w:val="single" w:color="000000" w:sz="8" w:space="0"/>
              <w:bottom w:val="single" w:color="000000" w:sz="8" w:space="0"/>
              <w:right w:val="single" w:color="000000" w:sz="8" w:space="0"/>
            </w:tcBorders>
            <w:vAlign w:val="center"/>
          </w:tcPr>
          <w:p w14:paraId="2481F4EC">
            <w:pPr>
              <w:snapToGrid w:val="0"/>
              <w:spacing w:before="120" w:beforeLines="50" w:after="100" w:afterAutospacing="1" w:line="240" w:lineRule="auto"/>
              <w:ind w:left="283" w:leftChars="135" w:firstLine="1630" w:firstLineChars="906"/>
              <w:rPr>
                <w:rFonts w:hint="eastAsia" w:ascii="宋体" w:hAnsi="宋体"/>
                <w:sz w:val="18"/>
                <w:szCs w:val="18"/>
              </w:rPr>
            </w:pPr>
            <w:r>
              <w:rPr>
                <w:rFonts w:hint="eastAsia" w:ascii="宋体" w:hAnsi="宋体"/>
                <w:sz w:val="18"/>
                <w:szCs w:val="18"/>
              </w:rPr>
              <w:t>60</w:t>
            </w:r>
          </w:p>
        </w:tc>
      </w:tr>
      <w:tr w14:paraId="516C2713">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4815" w:type="dxa"/>
            <w:gridSpan w:val="2"/>
            <w:tcBorders>
              <w:top w:val="single" w:color="000000" w:sz="8" w:space="0"/>
              <w:left w:val="single" w:color="000000" w:sz="8" w:space="0"/>
              <w:bottom w:val="single" w:color="000000" w:sz="8" w:space="0"/>
              <w:right w:val="single" w:color="000000" w:sz="8" w:space="0"/>
            </w:tcBorders>
            <w:vAlign w:val="center"/>
          </w:tcPr>
          <w:p w14:paraId="4551C962">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hint="eastAsia" w:ascii="宋体" w:hAnsi="宋体"/>
                <w:sz w:val="18"/>
                <w:szCs w:val="18"/>
              </w:rPr>
              <w:t>表面张力/（</w:t>
            </w:r>
            <w:r>
              <w:rPr>
                <w:rFonts w:ascii="宋体" w:hAnsi="宋体"/>
                <w:sz w:val="18"/>
                <w:szCs w:val="18"/>
              </w:rPr>
              <w:t>mN/M</w:t>
            </w:r>
            <w:r>
              <w:rPr>
                <w:rFonts w:hint="eastAsia" w:ascii="宋体" w:hAnsi="宋体"/>
                <w:sz w:val="18"/>
                <w:szCs w:val="18"/>
              </w:rPr>
              <w:t>）                              ≤</w:t>
            </w:r>
          </w:p>
        </w:tc>
        <w:tc>
          <w:tcPr>
            <w:tcW w:w="3822" w:type="dxa"/>
            <w:tcBorders>
              <w:top w:val="single" w:color="000000" w:sz="8" w:space="0"/>
              <w:left w:val="single" w:color="000000" w:sz="8" w:space="0"/>
              <w:bottom w:val="single" w:color="000000" w:sz="8" w:space="0"/>
              <w:right w:val="single" w:color="000000" w:sz="8" w:space="0"/>
            </w:tcBorders>
            <w:vAlign w:val="center"/>
          </w:tcPr>
          <w:p w14:paraId="6DA79781">
            <w:pPr>
              <w:snapToGrid w:val="0"/>
              <w:spacing w:before="120" w:beforeLines="50" w:after="100" w:afterAutospacing="1" w:line="240" w:lineRule="auto"/>
              <w:ind w:left="283" w:leftChars="135"/>
              <w:jc w:val="center"/>
              <w:rPr>
                <w:rFonts w:hint="eastAsia" w:ascii="宋体" w:hAnsi="宋体"/>
                <w:sz w:val="18"/>
                <w:szCs w:val="18"/>
              </w:rPr>
            </w:pPr>
            <w:r>
              <w:rPr>
                <w:rFonts w:hint="eastAsia" w:ascii="宋体" w:hAnsi="宋体"/>
                <w:sz w:val="18"/>
                <w:szCs w:val="18"/>
              </w:rPr>
              <w:t>3</w:t>
            </w:r>
            <w:r>
              <w:rPr>
                <w:rFonts w:ascii="宋体" w:hAnsi="宋体"/>
                <w:sz w:val="18"/>
                <w:szCs w:val="18"/>
              </w:rPr>
              <w:t>0</w:t>
            </w:r>
          </w:p>
        </w:tc>
      </w:tr>
      <w:tr w14:paraId="3F5B457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108" w:hRule="atLeast"/>
          <w:jc w:val="center"/>
        </w:trPr>
        <w:tc>
          <w:tcPr>
            <w:tcW w:w="4815" w:type="dxa"/>
            <w:gridSpan w:val="2"/>
            <w:tcBorders>
              <w:top w:val="single" w:color="000000" w:sz="8" w:space="0"/>
              <w:left w:val="single" w:color="000000" w:sz="8" w:space="0"/>
              <w:bottom w:val="single" w:color="000000" w:sz="8" w:space="0"/>
            </w:tcBorders>
            <w:vAlign w:val="center"/>
          </w:tcPr>
          <w:p w14:paraId="3D23DD71">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hint="eastAsia" w:ascii="宋体" w:hAnsi="宋体"/>
                <w:sz w:val="18"/>
                <w:szCs w:val="18"/>
              </w:rPr>
              <w:t>分散性/%                                       ≥</w:t>
            </w:r>
          </w:p>
        </w:tc>
        <w:tc>
          <w:tcPr>
            <w:tcW w:w="3822" w:type="dxa"/>
            <w:tcBorders>
              <w:top w:val="single" w:color="000000" w:sz="8" w:space="0"/>
              <w:bottom w:val="single" w:color="000000" w:sz="8" w:space="0"/>
              <w:right w:val="single" w:color="000000" w:sz="8" w:space="0"/>
            </w:tcBorders>
            <w:vAlign w:val="center"/>
          </w:tcPr>
          <w:p w14:paraId="23F31437">
            <w:pPr>
              <w:snapToGrid w:val="0"/>
              <w:spacing w:before="120" w:beforeLines="50" w:after="100" w:afterAutospacing="1" w:line="240" w:lineRule="auto"/>
              <w:ind w:left="283" w:leftChars="135"/>
              <w:jc w:val="center"/>
              <w:rPr>
                <w:rFonts w:hint="eastAsia" w:ascii="宋体" w:hAnsi="宋体"/>
                <w:sz w:val="18"/>
                <w:szCs w:val="18"/>
              </w:rPr>
            </w:pPr>
            <w:r>
              <w:rPr>
                <w:rFonts w:hint="eastAsia" w:ascii="宋体" w:hAnsi="宋体"/>
                <w:sz w:val="18"/>
                <w:szCs w:val="18"/>
              </w:rPr>
              <w:t>8</w:t>
            </w:r>
            <w:r>
              <w:rPr>
                <w:rFonts w:ascii="宋体" w:hAnsi="宋体"/>
                <w:sz w:val="18"/>
                <w:szCs w:val="18"/>
              </w:rPr>
              <w:t>0</w:t>
            </w:r>
          </w:p>
        </w:tc>
      </w:tr>
      <w:tr w14:paraId="77E10F2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413" w:type="dxa"/>
            <w:vMerge w:val="restart"/>
            <w:tcBorders>
              <w:top w:val="single" w:color="000000" w:sz="8" w:space="0"/>
              <w:left w:val="single" w:color="000000" w:sz="8" w:space="0"/>
              <w:bottom w:val="single" w:color="000000" w:sz="8" w:space="0"/>
              <w:right w:val="single" w:color="000000" w:sz="8" w:space="0"/>
            </w:tcBorders>
            <w:vAlign w:val="center"/>
          </w:tcPr>
          <w:p w14:paraId="2B85BF80">
            <w:pPr>
              <w:snapToGrid w:val="0"/>
              <w:spacing w:before="120" w:beforeLines="50" w:after="100" w:afterAutospacing="1" w:line="240" w:lineRule="auto"/>
              <w:ind w:left="283" w:leftChars="135" w:firstLine="90" w:firstLineChars="50"/>
              <w:jc w:val="left"/>
              <w:rPr>
                <w:rFonts w:hint="eastAsia" w:ascii="宋体" w:hAnsi="宋体"/>
                <w:sz w:val="18"/>
                <w:szCs w:val="18"/>
              </w:rPr>
            </w:pPr>
            <w:r>
              <w:rPr>
                <w:rFonts w:hint="eastAsia" w:ascii="宋体" w:hAnsi="宋体"/>
                <w:sz w:val="18"/>
                <w:szCs w:val="18"/>
              </w:rPr>
              <w:t>分散</w:t>
            </w:r>
            <w:r>
              <w:rPr>
                <w:rFonts w:ascii="宋体" w:hAnsi="宋体"/>
                <w:sz w:val="18"/>
                <w:szCs w:val="18"/>
              </w:rPr>
              <w:t>稳定性</w:t>
            </w:r>
          </w:p>
        </w:tc>
        <w:tc>
          <w:tcPr>
            <w:tcW w:w="3402" w:type="dxa"/>
            <w:tcBorders>
              <w:top w:val="single" w:color="000000" w:sz="8" w:space="0"/>
              <w:left w:val="single" w:color="000000" w:sz="8" w:space="0"/>
              <w:bottom w:val="single" w:color="000000" w:sz="8" w:space="0"/>
              <w:right w:val="single" w:color="000000" w:sz="8" w:space="0"/>
            </w:tcBorders>
            <w:vAlign w:val="center"/>
          </w:tcPr>
          <w:p w14:paraId="45106B57">
            <w:pPr>
              <w:widowControl/>
              <w:autoSpaceDE w:val="0"/>
              <w:autoSpaceDN w:val="0"/>
              <w:snapToGrid w:val="0"/>
              <w:spacing w:before="96" w:beforeLines="40" w:after="100" w:afterAutospacing="1" w:line="240" w:lineRule="auto"/>
              <w:ind w:left="283" w:leftChars="135" w:firstLine="88" w:firstLineChars="49"/>
              <w:jc w:val="left"/>
              <w:rPr>
                <w:rFonts w:hint="eastAsia" w:ascii="宋体" w:hAnsi="宋体"/>
                <w:kern w:val="0"/>
                <w:sz w:val="18"/>
                <w:szCs w:val="18"/>
              </w:rPr>
            </w:pPr>
            <w:r>
              <w:rPr>
                <w:rFonts w:hint="eastAsia" w:ascii="宋体" w:hAnsi="宋体"/>
                <w:kern w:val="0"/>
                <w:sz w:val="18"/>
                <w:szCs w:val="18"/>
              </w:rPr>
              <w:t>最初分散稳定性</w:t>
            </w:r>
          </w:p>
        </w:tc>
        <w:tc>
          <w:tcPr>
            <w:tcW w:w="3822" w:type="dxa"/>
            <w:tcBorders>
              <w:top w:val="single" w:color="000000" w:sz="8" w:space="0"/>
              <w:left w:val="single" w:color="000000" w:sz="8" w:space="0"/>
              <w:bottom w:val="single" w:color="000000" w:sz="8" w:space="0"/>
              <w:right w:val="single" w:color="000000" w:sz="8" w:space="0"/>
            </w:tcBorders>
            <w:vAlign w:val="center"/>
          </w:tcPr>
          <w:p w14:paraId="21F2BA48">
            <w:pPr>
              <w:widowControl/>
              <w:autoSpaceDE w:val="0"/>
              <w:autoSpaceDN w:val="0"/>
              <w:snapToGrid w:val="0"/>
              <w:spacing w:before="96" w:beforeLines="40" w:after="100" w:afterAutospacing="1" w:line="240" w:lineRule="auto"/>
              <w:ind w:left="283" w:leftChars="135"/>
              <w:jc w:val="center"/>
              <w:rPr>
                <w:rFonts w:hint="eastAsia" w:ascii="宋体" w:hAnsi="宋体"/>
                <w:kern w:val="0"/>
                <w:sz w:val="18"/>
                <w:szCs w:val="18"/>
              </w:rPr>
            </w:pPr>
            <w:r>
              <w:rPr>
                <w:rFonts w:hint="eastAsia" w:ascii="宋体" w:hAnsi="宋体"/>
                <w:kern w:val="0"/>
                <w:sz w:val="18"/>
                <w:szCs w:val="18"/>
              </w:rPr>
              <w:t>完全分散，分散液均一，无沉淀和浮油</w:t>
            </w:r>
          </w:p>
        </w:tc>
      </w:tr>
      <w:tr w14:paraId="59D733BE">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413" w:type="dxa"/>
            <w:vMerge w:val="continue"/>
            <w:tcBorders>
              <w:top w:val="single" w:color="000000" w:sz="8" w:space="0"/>
              <w:left w:val="single" w:color="000000" w:sz="8" w:space="0"/>
              <w:bottom w:val="single" w:color="000000" w:sz="8" w:space="0"/>
              <w:right w:val="single" w:color="000000" w:sz="8" w:space="0"/>
            </w:tcBorders>
            <w:vAlign w:val="center"/>
          </w:tcPr>
          <w:p w14:paraId="10104C4D">
            <w:pPr>
              <w:snapToGrid w:val="0"/>
              <w:spacing w:before="120" w:beforeLines="50" w:after="100" w:afterAutospacing="1" w:line="240" w:lineRule="auto"/>
              <w:ind w:left="283" w:leftChars="135" w:firstLine="90" w:firstLineChars="50"/>
              <w:jc w:val="left"/>
              <w:rPr>
                <w:rFonts w:hint="eastAsia" w:ascii="宋体" w:hAnsi="宋体"/>
                <w:sz w:val="18"/>
                <w:szCs w:val="18"/>
              </w:rPr>
            </w:pPr>
          </w:p>
        </w:tc>
        <w:tc>
          <w:tcPr>
            <w:tcW w:w="3402" w:type="dxa"/>
            <w:tcBorders>
              <w:top w:val="single" w:color="000000" w:sz="8" w:space="0"/>
              <w:left w:val="single" w:color="000000" w:sz="8" w:space="0"/>
              <w:bottom w:val="single" w:color="000000" w:sz="8" w:space="0"/>
              <w:right w:val="single" w:color="000000" w:sz="8" w:space="0"/>
            </w:tcBorders>
            <w:vAlign w:val="center"/>
          </w:tcPr>
          <w:p w14:paraId="5C4BF1B9">
            <w:pPr>
              <w:widowControl/>
              <w:autoSpaceDE w:val="0"/>
              <w:autoSpaceDN w:val="0"/>
              <w:snapToGrid w:val="0"/>
              <w:spacing w:before="96" w:beforeLines="40" w:after="100" w:afterAutospacing="1" w:line="240" w:lineRule="auto"/>
              <w:ind w:left="283" w:leftChars="135" w:firstLine="88" w:firstLineChars="49"/>
              <w:jc w:val="left"/>
              <w:rPr>
                <w:rFonts w:hint="eastAsia" w:ascii="宋体" w:hAnsi="宋体"/>
                <w:kern w:val="0"/>
                <w:sz w:val="18"/>
                <w:szCs w:val="18"/>
              </w:rPr>
            </w:pPr>
            <w:r>
              <w:rPr>
                <w:rFonts w:hint="eastAsia" w:ascii="宋体" w:hAnsi="宋体"/>
                <w:kern w:val="0"/>
                <w:sz w:val="18"/>
                <w:szCs w:val="18"/>
              </w:rPr>
              <w:t>静止30 min后分散稳定性</w:t>
            </w:r>
          </w:p>
        </w:tc>
        <w:tc>
          <w:tcPr>
            <w:tcW w:w="3822" w:type="dxa"/>
            <w:tcBorders>
              <w:top w:val="single" w:color="000000" w:sz="8" w:space="0"/>
              <w:left w:val="single" w:color="000000" w:sz="8" w:space="0"/>
              <w:bottom w:val="single" w:color="000000" w:sz="8" w:space="0"/>
              <w:right w:val="single" w:color="000000" w:sz="8" w:space="0"/>
            </w:tcBorders>
            <w:vAlign w:val="center"/>
          </w:tcPr>
          <w:p w14:paraId="6885388C">
            <w:pPr>
              <w:widowControl/>
              <w:autoSpaceDE w:val="0"/>
              <w:autoSpaceDN w:val="0"/>
              <w:snapToGrid w:val="0"/>
              <w:spacing w:before="96" w:beforeLines="40" w:after="100" w:afterAutospacing="1" w:line="240" w:lineRule="auto"/>
              <w:ind w:left="283" w:leftChars="135"/>
              <w:jc w:val="center"/>
              <w:rPr>
                <w:rFonts w:hint="eastAsia" w:ascii="宋体" w:hAnsi="宋体"/>
                <w:kern w:val="0"/>
                <w:sz w:val="18"/>
                <w:szCs w:val="18"/>
              </w:rPr>
            </w:pPr>
            <w:r>
              <w:rPr>
                <w:rFonts w:hint="eastAsia" w:ascii="宋体" w:hAnsi="宋体"/>
                <w:kern w:val="0"/>
                <w:sz w:val="18"/>
                <w:szCs w:val="18"/>
              </w:rPr>
              <w:t>沉淀≤1 mL，无浮油</w:t>
            </w:r>
          </w:p>
        </w:tc>
      </w:tr>
      <w:tr w14:paraId="32EAE685">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1413" w:type="dxa"/>
            <w:vMerge w:val="continue"/>
            <w:tcBorders>
              <w:top w:val="single" w:color="000000" w:sz="8" w:space="0"/>
              <w:left w:val="single" w:color="000000" w:sz="8" w:space="0"/>
              <w:bottom w:val="single" w:color="000000" w:sz="8" w:space="0"/>
              <w:right w:val="single" w:color="000000" w:sz="8" w:space="0"/>
            </w:tcBorders>
            <w:vAlign w:val="center"/>
          </w:tcPr>
          <w:p w14:paraId="2FE8D48B">
            <w:pPr>
              <w:snapToGrid w:val="0"/>
              <w:spacing w:before="120" w:beforeLines="50" w:after="100" w:afterAutospacing="1" w:line="240" w:lineRule="auto"/>
              <w:ind w:left="283" w:leftChars="135" w:firstLine="90" w:firstLineChars="50"/>
              <w:jc w:val="left"/>
              <w:rPr>
                <w:rFonts w:hint="eastAsia" w:ascii="宋体" w:hAnsi="宋体"/>
                <w:sz w:val="18"/>
                <w:szCs w:val="18"/>
              </w:rPr>
            </w:pPr>
          </w:p>
        </w:tc>
        <w:tc>
          <w:tcPr>
            <w:tcW w:w="3402" w:type="dxa"/>
            <w:tcBorders>
              <w:top w:val="single" w:color="000000" w:sz="8" w:space="0"/>
              <w:left w:val="single" w:color="000000" w:sz="8" w:space="0"/>
              <w:bottom w:val="single" w:color="000000" w:sz="8" w:space="0"/>
              <w:right w:val="single" w:color="000000" w:sz="8" w:space="0"/>
            </w:tcBorders>
            <w:vAlign w:val="center"/>
          </w:tcPr>
          <w:p w14:paraId="122EAE24">
            <w:pPr>
              <w:widowControl/>
              <w:autoSpaceDE w:val="0"/>
              <w:autoSpaceDN w:val="0"/>
              <w:snapToGrid w:val="0"/>
              <w:spacing w:before="96" w:beforeLines="40" w:after="100" w:afterAutospacing="1" w:line="240" w:lineRule="auto"/>
              <w:ind w:left="283" w:leftChars="135" w:firstLine="88" w:firstLineChars="49"/>
              <w:jc w:val="left"/>
              <w:rPr>
                <w:rFonts w:hint="eastAsia" w:ascii="宋体" w:hAnsi="宋体"/>
                <w:kern w:val="0"/>
                <w:sz w:val="18"/>
                <w:szCs w:val="18"/>
              </w:rPr>
            </w:pPr>
            <w:r>
              <w:rPr>
                <w:rFonts w:ascii="宋体" w:hAnsi="宋体"/>
                <w:kern w:val="0"/>
                <w:sz w:val="18"/>
                <w:szCs w:val="18"/>
              </w:rPr>
              <w:t>24</w:t>
            </w:r>
            <w:r>
              <w:rPr>
                <w:rFonts w:hint="eastAsia" w:ascii="宋体" w:hAnsi="宋体"/>
                <w:kern w:val="0"/>
                <w:sz w:val="18"/>
                <w:szCs w:val="18"/>
              </w:rPr>
              <w:t xml:space="preserve"> </w:t>
            </w:r>
            <w:r>
              <w:rPr>
                <w:rFonts w:ascii="Times New Roman" w:hAnsi="Times New Roman"/>
                <w:kern w:val="0"/>
                <w:sz w:val="18"/>
                <w:szCs w:val="18"/>
              </w:rPr>
              <w:t>h</w:t>
            </w:r>
            <w:r>
              <w:rPr>
                <w:rFonts w:hint="eastAsia" w:ascii="宋体" w:hAnsi="宋体"/>
                <w:kern w:val="0"/>
                <w:sz w:val="18"/>
                <w:szCs w:val="18"/>
              </w:rPr>
              <w:t>（翻转3</w:t>
            </w:r>
            <w:r>
              <w:rPr>
                <w:rFonts w:ascii="宋体" w:hAnsi="宋体"/>
                <w:kern w:val="0"/>
                <w:sz w:val="18"/>
                <w:szCs w:val="18"/>
              </w:rPr>
              <w:t>0</w:t>
            </w:r>
            <w:r>
              <w:rPr>
                <w:rFonts w:hint="eastAsia" w:ascii="宋体" w:hAnsi="宋体"/>
                <w:kern w:val="0"/>
                <w:sz w:val="18"/>
                <w:szCs w:val="18"/>
              </w:rPr>
              <w:t>次后）的分散稳定性</w:t>
            </w:r>
          </w:p>
        </w:tc>
        <w:tc>
          <w:tcPr>
            <w:tcW w:w="3822" w:type="dxa"/>
            <w:tcBorders>
              <w:top w:val="single" w:color="000000" w:sz="8" w:space="0"/>
              <w:left w:val="single" w:color="000000" w:sz="8" w:space="0"/>
              <w:bottom w:val="single" w:color="000000" w:sz="8" w:space="0"/>
              <w:right w:val="single" w:color="000000" w:sz="8" w:space="0"/>
            </w:tcBorders>
            <w:vAlign w:val="center"/>
          </w:tcPr>
          <w:p w14:paraId="23DB6629">
            <w:pPr>
              <w:widowControl/>
              <w:autoSpaceDE w:val="0"/>
              <w:autoSpaceDN w:val="0"/>
              <w:snapToGrid w:val="0"/>
              <w:spacing w:before="96" w:beforeLines="40" w:after="100" w:afterAutospacing="1" w:line="240" w:lineRule="auto"/>
              <w:ind w:left="283" w:leftChars="135"/>
              <w:jc w:val="center"/>
              <w:rPr>
                <w:rFonts w:hint="eastAsia" w:ascii="宋体" w:hAnsi="宋体"/>
                <w:kern w:val="0"/>
                <w:sz w:val="18"/>
                <w:szCs w:val="18"/>
              </w:rPr>
            </w:pPr>
            <w:r>
              <w:rPr>
                <w:rFonts w:hint="eastAsia" w:ascii="宋体" w:hAnsi="宋体"/>
                <w:kern w:val="0"/>
                <w:sz w:val="18"/>
                <w:szCs w:val="18"/>
              </w:rPr>
              <w:t>完全分散，分散液均一，无沉淀和浮油</w:t>
            </w:r>
          </w:p>
        </w:tc>
      </w:tr>
      <w:tr w14:paraId="33A393F0">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40" w:hRule="atLeast"/>
          <w:jc w:val="center"/>
        </w:trPr>
        <w:tc>
          <w:tcPr>
            <w:tcW w:w="4815" w:type="dxa"/>
            <w:gridSpan w:val="2"/>
            <w:tcBorders>
              <w:top w:val="single" w:color="000000" w:sz="8" w:space="0"/>
              <w:left w:val="single" w:color="000000" w:sz="8" w:space="0"/>
              <w:bottom w:val="single" w:color="000000" w:sz="8" w:space="0"/>
            </w:tcBorders>
            <w:vAlign w:val="center"/>
          </w:tcPr>
          <w:p w14:paraId="789A5BEC">
            <w:pPr>
              <w:snapToGrid w:val="0"/>
              <w:spacing w:before="120" w:beforeLines="50" w:after="100" w:afterAutospacing="1" w:line="240" w:lineRule="auto"/>
              <w:ind w:left="283" w:leftChars="135" w:firstLine="88" w:firstLineChars="49"/>
              <w:jc w:val="left"/>
              <w:rPr>
                <w:rFonts w:hint="eastAsia" w:ascii="宋体" w:hAnsi="宋体"/>
                <w:sz w:val="18"/>
                <w:szCs w:val="18"/>
              </w:rPr>
            </w:pPr>
            <w:r>
              <w:rPr>
                <w:rFonts w:hint="eastAsia" w:ascii="宋体" w:hAnsi="宋体"/>
                <w:sz w:val="18"/>
                <w:szCs w:val="18"/>
              </w:rPr>
              <w:t>雾滴沉积密度/（d/</w:t>
            </w:r>
            <w:r>
              <w:rPr>
                <w:rFonts w:hint="eastAsia" w:ascii="宋体" w:hAnsi="宋体"/>
                <w:bCs/>
                <w:color w:val="000000"/>
                <w:kern w:val="0"/>
                <w:sz w:val="18"/>
                <w:szCs w:val="18"/>
              </w:rPr>
              <w:t>cm</w:t>
            </w:r>
            <w:r>
              <w:rPr>
                <w:rFonts w:hint="eastAsia" w:ascii="宋体" w:hAnsi="宋体"/>
                <w:bCs/>
                <w:color w:val="000000"/>
                <w:kern w:val="0"/>
                <w:sz w:val="18"/>
                <w:szCs w:val="18"/>
                <w:vertAlign w:val="superscript"/>
              </w:rPr>
              <w:t>2</w:t>
            </w:r>
            <w:r>
              <w:rPr>
                <w:rFonts w:hint="eastAsia" w:ascii="宋体" w:hAnsi="宋体"/>
                <w:bCs/>
                <w:color w:val="000000"/>
                <w:kern w:val="0"/>
                <w:sz w:val="18"/>
                <w:szCs w:val="18"/>
              </w:rPr>
              <w:t>）</w:t>
            </w:r>
          </w:p>
        </w:tc>
        <w:tc>
          <w:tcPr>
            <w:tcW w:w="3822" w:type="dxa"/>
            <w:tcBorders>
              <w:top w:val="single" w:color="000000" w:sz="8" w:space="0"/>
              <w:bottom w:val="single" w:color="000000" w:sz="8" w:space="0"/>
              <w:right w:val="single" w:color="000000" w:sz="8" w:space="0"/>
            </w:tcBorders>
            <w:vAlign w:val="center"/>
          </w:tcPr>
          <w:p w14:paraId="54C5643E">
            <w:pPr>
              <w:snapToGrid w:val="0"/>
              <w:spacing w:before="120" w:beforeLines="50" w:after="100" w:afterAutospacing="1" w:line="240" w:lineRule="auto"/>
              <w:ind w:left="283" w:leftChars="135"/>
              <w:jc w:val="center"/>
              <w:rPr>
                <w:rFonts w:hint="eastAsia" w:ascii="宋体" w:hAnsi="宋体"/>
                <w:sz w:val="18"/>
                <w:szCs w:val="18"/>
              </w:rPr>
            </w:pPr>
            <w:r>
              <w:rPr>
                <w:rFonts w:hint="eastAsia" w:ascii="宋体" w:hAnsi="宋体"/>
                <w:bCs/>
                <w:color w:val="000000"/>
                <w:kern w:val="0"/>
                <w:sz w:val="18"/>
                <w:szCs w:val="18"/>
              </w:rPr>
              <w:t>20</w:t>
            </w:r>
            <w:r>
              <w:rPr>
                <w:rFonts w:ascii="宋体" w:hAnsi="宋体"/>
                <w:bCs/>
                <w:color w:val="000000"/>
                <w:kern w:val="0"/>
                <w:sz w:val="18"/>
                <w:szCs w:val="18"/>
              </w:rPr>
              <w:t xml:space="preserve"> </w:t>
            </w:r>
            <w:r>
              <w:rPr>
                <w:rFonts w:hint="eastAsia" w:ascii="宋体" w:hAnsi="宋体"/>
                <w:bCs/>
                <w:color w:val="000000"/>
                <w:kern w:val="0"/>
                <w:sz w:val="18"/>
                <w:szCs w:val="18"/>
              </w:rPr>
              <w:t>≤ d</w:t>
            </w:r>
            <w:r>
              <w:rPr>
                <w:rFonts w:ascii="宋体" w:hAnsi="宋体"/>
                <w:bCs/>
                <w:color w:val="000000"/>
                <w:kern w:val="0"/>
                <w:sz w:val="18"/>
                <w:szCs w:val="18"/>
              </w:rPr>
              <w:t xml:space="preserve"> </w:t>
            </w:r>
            <w:r>
              <w:rPr>
                <w:rFonts w:hint="eastAsia" w:ascii="宋体" w:hAnsi="宋体"/>
                <w:bCs/>
                <w:color w:val="000000"/>
                <w:kern w:val="0"/>
                <w:sz w:val="18"/>
                <w:szCs w:val="18"/>
              </w:rPr>
              <w:t>≤</w:t>
            </w:r>
            <w:r>
              <w:rPr>
                <w:rFonts w:ascii="宋体" w:hAnsi="宋体"/>
                <w:bCs/>
                <w:color w:val="000000"/>
                <w:kern w:val="0"/>
                <w:sz w:val="18"/>
                <w:szCs w:val="18"/>
              </w:rPr>
              <w:t>5</w:t>
            </w:r>
            <w:r>
              <w:rPr>
                <w:rFonts w:hint="eastAsia" w:ascii="宋体" w:hAnsi="宋体"/>
                <w:bCs/>
                <w:color w:val="000000"/>
                <w:kern w:val="0"/>
                <w:sz w:val="18"/>
                <w:szCs w:val="18"/>
              </w:rPr>
              <w:t>0</w:t>
            </w:r>
          </w:p>
        </w:tc>
      </w:tr>
      <w:tr w14:paraId="5CC18808">
        <w:tblPrEx>
          <w:tblBorders>
            <w:top w:val="single" w:color="000000" w:sz="12" w:space="0"/>
            <w:left w:val="single" w:color="000000" w:sz="12" w:space="0"/>
            <w:bottom w:val="single" w:color="000000" w:sz="12" w:space="0"/>
            <w:right w:val="single" w:color="000000" w:sz="12" w:space="0"/>
            <w:insideH w:val="single" w:color="000000" w:sz="8" w:space="0"/>
            <w:insideV w:val="single" w:color="000000" w:sz="8" w:space="0"/>
          </w:tblBorders>
          <w:tblCellMar>
            <w:top w:w="0" w:type="dxa"/>
            <w:left w:w="0" w:type="dxa"/>
            <w:bottom w:w="0" w:type="dxa"/>
            <w:right w:w="0" w:type="dxa"/>
          </w:tblCellMar>
        </w:tblPrEx>
        <w:trPr>
          <w:trHeight w:val="302" w:hRule="exact"/>
          <w:jc w:val="center"/>
        </w:trPr>
        <w:tc>
          <w:tcPr>
            <w:tcW w:w="4815" w:type="dxa"/>
            <w:gridSpan w:val="2"/>
            <w:tcBorders>
              <w:top w:val="single" w:color="000000" w:sz="8" w:space="0"/>
              <w:left w:val="single" w:color="000000" w:sz="8" w:space="0"/>
              <w:bottom w:val="single" w:color="000000" w:sz="8" w:space="0"/>
            </w:tcBorders>
            <w:vAlign w:val="bottom"/>
          </w:tcPr>
          <w:p w14:paraId="256F29DE">
            <w:pPr>
              <w:snapToGrid w:val="0"/>
              <w:spacing w:after="100" w:afterAutospacing="1" w:line="240" w:lineRule="auto"/>
              <w:ind w:left="283" w:leftChars="135" w:firstLine="88" w:firstLineChars="49"/>
              <w:jc w:val="left"/>
              <w:rPr>
                <w:rFonts w:hint="eastAsia" w:ascii="宋体" w:hAnsi="宋体"/>
                <w:sz w:val="18"/>
                <w:szCs w:val="18"/>
              </w:rPr>
            </w:pPr>
            <w:r>
              <w:rPr>
                <w:rFonts w:hint="eastAsia" w:ascii="宋体" w:hAnsi="宋体"/>
                <w:sz w:val="18"/>
                <w:szCs w:val="18"/>
              </w:rPr>
              <w:t>低温稳定性试验（0℃ 放置1h，在室温下静置3小时）</w:t>
            </w:r>
          </w:p>
        </w:tc>
        <w:tc>
          <w:tcPr>
            <w:tcW w:w="3822" w:type="dxa"/>
            <w:tcBorders>
              <w:top w:val="single" w:color="000000" w:sz="8" w:space="0"/>
              <w:bottom w:val="single" w:color="000000" w:sz="8" w:space="0"/>
              <w:right w:val="single" w:color="000000" w:sz="8" w:space="0"/>
            </w:tcBorders>
            <w:vAlign w:val="center"/>
          </w:tcPr>
          <w:p w14:paraId="34A5EEA9">
            <w:pPr>
              <w:snapToGrid w:val="0"/>
              <w:spacing w:before="120" w:beforeLines="50" w:after="100" w:afterAutospacing="1" w:line="240" w:lineRule="auto"/>
              <w:ind w:left="283" w:leftChars="135"/>
              <w:jc w:val="center"/>
              <w:rPr>
                <w:rFonts w:hint="eastAsia" w:ascii="宋体" w:hAnsi="宋体"/>
                <w:bCs/>
                <w:color w:val="000000"/>
                <w:kern w:val="0"/>
                <w:sz w:val="18"/>
                <w:szCs w:val="18"/>
              </w:rPr>
            </w:pPr>
            <w:r>
              <w:rPr>
                <w:rFonts w:hint="eastAsia" w:ascii="宋体" w:hAnsi="宋体"/>
                <w:bCs/>
                <w:color w:val="000000"/>
                <w:kern w:val="0"/>
                <w:sz w:val="18"/>
                <w:szCs w:val="18"/>
              </w:rPr>
              <w:t>合格</w:t>
            </w:r>
          </w:p>
        </w:tc>
      </w:tr>
    </w:tbl>
    <w:p w14:paraId="3534AFBD">
      <w:pPr>
        <w:pStyle w:val="108"/>
      </w:pPr>
      <w:r>
        <w:rPr>
          <w:rFonts w:hint="eastAsia"/>
        </w:rPr>
        <w:t>功能性要求</w:t>
      </w:r>
    </w:p>
    <w:p w14:paraId="73AA9BC6">
      <w:pPr>
        <w:pStyle w:val="68"/>
      </w:pPr>
      <w:r>
        <w:rPr>
          <w:rFonts w:hint="eastAsia"/>
        </w:rPr>
        <w:t>润湿性</w:t>
      </w:r>
    </w:p>
    <w:p w14:paraId="7207FEA4">
      <w:pPr>
        <w:pStyle w:val="59"/>
        <w:rPr>
          <w:rFonts w:hint="eastAsia"/>
          <w:color w:val="000000"/>
          <w:szCs w:val="21"/>
        </w:rPr>
      </w:pPr>
      <w:r>
        <w:rPr>
          <w:rFonts w:hint="eastAsia"/>
        </w:rPr>
        <w:t>本项功能性润湿性</w:t>
      </w:r>
      <w:r>
        <w:rPr>
          <w:rFonts w:hint="eastAsia"/>
          <w:color w:val="000000"/>
          <w:szCs w:val="21"/>
        </w:rPr>
        <w:t>要求的接触角应在</w:t>
      </w:r>
      <w:r>
        <w:rPr>
          <w:color w:val="000000"/>
          <w:szCs w:val="21"/>
        </w:rPr>
        <w:t>10</w:t>
      </w:r>
      <w:r>
        <w:rPr>
          <w:rFonts w:hint="eastAsia"/>
          <w:color w:val="000000"/>
          <w:szCs w:val="21"/>
          <w:vertAlign w:val="superscript"/>
        </w:rPr>
        <w:t>o</w:t>
      </w:r>
      <w:r>
        <w:rPr>
          <w:rFonts w:hint="eastAsia"/>
          <w:color w:val="000000"/>
          <w:szCs w:val="21"/>
        </w:rPr>
        <w:t>＜</w:t>
      </w:r>
      <w:r>
        <w:rPr>
          <w:color w:val="000000"/>
          <w:szCs w:val="21"/>
        </w:rPr>
        <w:t>Θ</w:t>
      </w:r>
      <w:r>
        <w:rPr>
          <w:rFonts w:hint="eastAsia"/>
          <w:color w:val="000000"/>
          <w:szCs w:val="21"/>
        </w:rPr>
        <w:t>＜</w:t>
      </w:r>
      <w:r>
        <w:rPr>
          <w:color w:val="000000"/>
          <w:szCs w:val="21"/>
        </w:rPr>
        <w:t>90</w:t>
      </w:r>
      <w:r>
        <w:rPr>
          <w:rFonts w:hint="eastAsia"/>
          <w:color w:val="000000"/>
          <w:szCs w:val="21"/>
          <w:vertAlign w:val="superscript"/>
        </w:rPr>
        <w:t>o</w:t>
      </w:r>
      <w:r>
        <w:rPr>
          <w:rFonts w:hint="eastAsia"/>
          <w:color w:val="000000"/>
          <w:szCs w:val="21"/>
        </w:rPr>
        <w:t>范围，无人飞机植保喷雾方可达到较好防治效果。不同接触角与润湿渗透力相关性关系参见附件A。</w:t>
      </w:r>
    </w:p>
    <w:p w14:paraId="51E4FA50">
      <w:pPr>
        <w:pStyle w:val="68"/>
      </w:pPr>
      <w:r>
        <w:rPr>
          <w:rFonts w:hint="eastAsia"/>
        </w:rPr>
        <w:t>桶混兼容性</w:t>
      </w:r>
    </w:p>
    <w:p w14:paraId="446016DF">
      <w:pPr>
        <w:pStyle w:val="59"/>
        <w:rPr>
          <w:rFonts w:hint="eastAsia"/>
          <w:color w:val="000000"/>
          <w:szCs w:val="21"/>
        </w:rPr>
      </w:pPr>
      <w:r>
        <w:rPr>
          <w:rFonts w:hint="eastAsia"/>
          <w:color w:val="000000"/>
          <w:szCs w:val="21"/>
        </w:rPr>
        <w:t>适用于植保无人飞机的农药桶混液不应产生絮凝、</w:t>
      </w:r>
      <w:r>
        <w:rPr>
          <w:color w:val="000000"/>
          <w:szCs w:val="21"/>
        </w:rPr>
        <w:t>分层、沉淀或凝胶状物质，</w:t>
      </w:r>
      <w:r>
        <w:rPr>
          <w:rFonts w:hint="eastAsia"/>
          <w:color w:val="000000"/>
          <w:szCs w:val="21"/>
        </w:rPr>
        <w:t>否则应视为存在</w:t>
      </w:r>
      <w:r>
        <w:rPr>
          <w:color w:val="000000"/>
          <w:szCs w:val="21"/>
        </w:rPr>
        <w:t>拮抗作用，</w:t>
      </w:r>
      <w:r>
        <w:rPr>
          <w:rFonts w:hint="eastAsia"/>
          <w:color w:val="000000"/>
          <w:szCs w:val="21"/>
        </w:rPr>
        <w:t>是桶混不兼容的特征。</w:t>
      </w:r>
    </w:p>
    <w:p w14:paraId="69525322">
      <w:pPr>
        <w:pStyle w:val="68"/>
      </w:pPr>
      <w:r>
        <w:rPr>
          <w:rFonts w:hint="eastAsia"/>
        </w:rPr>
        <w:t>作物安全性</w:t>
      </w:r>
    </w:p>
    <w:p w14:paraId="63C2A4C8">
      <w:pPr>
        <w:pStyle w:val="59"/>
        <w:rPr>
          <w:rFonts w:hint="eastAsia"/>
        </w:rPr>
      </w:pPr>
      <w:r>
        <w:rPr>
          <w:rFonts w:hint="eastAsia"/>
        </w:rPr>
        <w:t>适用于植保无人飞机的农药桶混液不应对作物产生药害，在正式大范围喷雾施药前，应进行小面积的安全性试验，确保对拟施用作物安全后再进行喷施。</w:t>
      </w:r>
    </w:p>
    <w:p w14:paraId="1BAA5FF3">
      <w:pPr>
        <w:pStyle w:val="107"/>
        <w:spacing w:before="240" w:after="240"/>
      </w:pPr>
      <w:r>
        <w:rPr>
          <w:rFonts w:hint="eastAsia"/>
        </w:rPr>
        <w:t xml:space="preserve">检验方法  </w:t>
      </w:r>
    </w:p>
    <w:p w14:paraId="722FB907">
      <w:pPr>
        <w:pStyle w:val="108"/>
      </w:pPr>
      <w:r>
        <w:rPr>
          <w:rFonts w:hint="eastAsia"/>
        </w:rPr>
        <w:t>外观</w:t>
      </w:r>
    </w:p>
    <w:p w14:paraId="630568DB">
      <w:pPr>
        <w:pStyle w:val="59"/>
        <w:rPr>
          <w:rFonts w:hint="eastAsia"/>
          <w:szCs w:val="21"/>
        </w:rPr>
      </w:pPr>
      <w:r>
        <w:rPr>
          <w:rFonts w:hint="eastAsia"/>
        </w:rPr>
        <w:t>在</w:t>
      </w:r>
      <w:r>
        <w:rPr>
          <w:rFonts w:hint="eastAsia"/>
          <w:szCs w:val="21"/>
        </w:rPr>
        <w:t>自然光条件下，用目视法判别。</w:t>
      </w:r>
    </w:p>
    <w:p w14:paraId="59B38326">
      <w:pPr>
        <w:pStyle w:val="108"/>
        <w:ind w:left="0"/>
      </w:pPr>
      <w:r>
        <w:rPr>
          <w:rFonts w:hint="eastAsia"/>
        </w:rPr>
        <w:t>悬浮率</w:t>
      </w:r>
    </w:p>
    <w:p w14:paraId="56BB305B">
      <w:pPr>
        <w:pStyle w:val="59"/>
        <w:rPr>
          <w:rFonts w:hint="eastAsia"/>
        </w:rPr>
      </w:pPr>
      <w:r>
        <w:rPr>
          <w:rFonts w:hint="eastAsia"/>
        </w:rPr>
        <w:t>按</w:t>
      </w:r>
      <w:r>
        <w:rPr>
          <w:rFonts w:ascii="Times New Roman" w:hAnsi="Times New Roman"/>
        </w:rPr>
        <w:t>GB/T</w:t>
      </w:r>
      <w:r>
        <w:rPr>
          <w:rFonts w:hint="eastAsia"/>
        </w:rPr>
        <w:t xml:space="preserve"> 14825农药悬浮率测定方法进行。</w:t>
      </w:r>
    </w:p>
    <w:p w14:paraId="663AEDF2">
      <w:pPr>
        <w:pStyle w:val="108"/>
        <w:ind w:left="0"/>
      </w:pPr>
      <w:r>
        <w:rPr>
          <w:rFonts w:hint="eastAsia"/>
        </w:rPr>
        <w:t>湿筛试验</w:t>
      </w:r>
    </w:p>
    <w:p w14:paraId="7DC7436A">
      <w:pPr>
        <w:pStyle w:val="59"/>
        <w:rPr>
          <w:rFonts w:hint="eastAsia"/>
        </w:rPr>
      </w:pPr>
      <w:r>
        <w:rPr>
          <w:rFonts w:hint="eastAsia"/>
        </w:rPr>
        <w:t>按</w:t>
      </w:r>
      <w:r>
        <w:rPr>
          <w:rFonts w:hint="eastAsia" w:ascii="Times New Roman" w:hAnsi="Times New Roman"/>
        </w:rPr>
        <w:t xml:space="preserve">GB/T </w:t>
      </w:r>
      <w:r>
        <w:rPr>
          <w:rFonts w:hint="eastAsia"/>
        </w:rPr>
        <w:t>5451</w:t>
      </w:r>
      <w:r>
        <w:t xml:space="preserve"> 农药可湿性粉剂润湿性测定方法</w:t>
      </w:r>
      <w:r>
        <w:rPr>
          <w:rFonts w:hint="eastAsia"/>
        </w:rPr>
        <w:t>进行。</w:t>
      </w:r>
    </w:p>
    <w:p w14:paraId="607225ED">
      <w:pPr>
        <w:pStyle w:val="108"/>
        <w:ind w:left="0"/>
      </w:pPr>
      <w:r>
        <w:t>pH</w:t>
      </w:r>
      <w:r>
        <w:rPr>
          <w:rFonts w:hint="eastAsia"/>
        </w:rPr>
        <w:t>值范围</w:t>
      </w:r>
    </w:p>
    <w:p w14:paraId="1625EF02">
      <w:pPr>
        <w:pStyle w:val="59"/>
        <w:rPr>
          <w:rFonts w:hint="eastAsia"/>
        </w:rPr>
      </w:pPr>
      <w:r>
        <w:rPr>
          <w:rFonts w:hint="eastAsia"/>
        </w:rPr>
        <w:t>按</w:t>
      </w:r>
      <w:r>
        <w:rPr>
          <w:rFonts w:hint="eastAsia" w:ascii="Times New Roman" w:hAnsi="Times New Roman"/>
        </w:rPr>
        <w:t xml:space="preserve">GB/T </w:t>
      </w:r>
      <w:r>
        <w:rPr>
          <w:rFonts w:hint="eastAsia"/>
        </w:rPr>
        <w:t>1601规定，直接检测桶混液的p</w:t>
      </w:r>
      <w:r>
        <w:t>H</w:t>
      </w:r>
      <w:r>
        <w:rPr>
          <w:rFonts w:hint="eastAsia"/>
        </w:rPr>
        <w:t>值。</w:t>
      </w:r>
    </w:p>
    <w:p w14:paraId="484EE782">
      <w:pPr>
        <w:pStyle w:val="108"/>
        <w:ind w:left="0"/>
      </w:pPr>
      <w:r>
        <w:rPr>
          <w:rFonts w:hint="eastAsia"/>
        </w:rPr>
        <w:t>持久起泡性</w:t>
      </w:r>
    </w:p>
    <w:p w14:paraId="16144085">
      <w:pPr>
        <w:pStyle w:val="59"/>
        <w:rPr>
          <w:rFonts w:hint="eastAsia"/>
        </w:rPr>
      </w:pPr>
      <w:r>
        <w:rPr>
          <w:rFonts w:hint="eastAsia"/>
        </w:rPr>
        <w:t>按</w:t>
      </w:r>
      <w:r>
        <w:rPr>
          <w:rFonts w:ascii="Times New Roman" w:hAnsi="Times New Roman"/>
        </w:rPr>
        <w:t>GB/T</w:t>
      </w:r>
      <w:r>
        <w:rPr>
          <w:rFonts w:hint="eastAsia"/>
        </w:rPr>
        <w:t xml:space="preserve"> 28137 农药持久起泡性测定方法进行。</w:t>
      </w:r>
    </w:p>
    <w:p w14:paraId="21FBDD13">
      <w:pPr>
        <w:pStyle w:val="108"/>
        <w:ind w:left="0"/>
      </w:pPr>
      <w:r>
        <w:rPr>
          <w:rFonts w:hint="eastAsia"/>
        </w:rPr>
        <w:t>表面张力</w:t>
      </w:r>
    </w:p>
    <w:p w14:paraId="565CE290">
      <w:pPr>
        <w:pStyle w:val="59"/>
        <w:rPr>
          <w:rFonts w:hint="eastAsia"/>
        </w:rPr>
      </w:pPr>
      <w:r>
        <w:rPr>
          <w:rFonts w:hint="eastAsia"/>
        </w:rPr>
        <w:t>按</w:t>
      </w:r>
      <w:r>
        <w:rPr>
          <w:rFonts w:hint="eastAsia" w:ascii="Times New Roman" w:hAnsi="Times New Roman"/>
        </w:rPr>
        <w:t>GB/T</w:t>
      </w:r>
      <w:r>
        <w:rPr>
          <w:rFonts w:hint="eastAsia"/>
        </w:rPr>
        <w:t xml:space="preserve"> 22237表面活性剂表面张力的测定进行。</w:t>
      </w:r>
    </w:p>
    <w:p w14:paraId="446CA526">
      <w:pPr>
        <w:pStyle w:val="108"/>
        <w:ind w:left="0"/>
      </w:pPr>
      <w:r>
        <w:rPr>
          <w:rFonts w:hint="eastAsia"/>
        </w:rPr>
        <w:t>分散性</w:t>
      </w:r>
    </w:p>
    <w:p w14:paraId="17087FCB">
      <w:pPr>
        <w:pStyle w:val="59"/>
        <w:rPr>
          <w:rFonts w:hint="eastAsia"/>
        </w:rPr>
      </w:pPr>
      <w:r>
        <w:rPr>
          <w:rFonts w:hint="eastAsia"/>
        </w:rPr>
        <w:t>按</w:t>
      </w:r>
      <w:r>
        <w:rPr>
          <w:rFonts w:hint="eastAsia" w:ascii="Times New Roman" w:hAnsi="Times New Roman"/>
        </w:rPr>
        <w:t xml:space="preserve">GB/T </w:t>
      </w:r>
      <w:r>
        <w:rPr>
          <w:rFonts w:hint="eastAsia"/>
        </w:rPr>
        <w:t>32775 农药分散性测定方法进行。</w:t>
      </w:r>
    </w:p>
    <w:p w14:paraId="3C1B522F">
      <w:pPr>
        <w:pStyle w:val="108"/>
        <w:ind w:left="0"/>
      </w:pPr>
      <w:r>
        <w:rPr>
          <w:rFonts w:hint="eastAsia"/>
        </w:rPr>
        <w:t>分散稳定性</w:t>
      </w:r>
    </w:p>
    <w:p w14:paraId="5CEF0C30">
      <w:pPr>
        <w:pStyle w:val="59"/>
        <w:rPr>
          <w:rFonts w:hint="eastAsia"/>
        </w:rPr>
      </w:pPr>
      <w:r>
        <w:rPr>
          <w:rFonts w:hint="eastAsia"/>
        </w:rPr>
        <w:t>按</w:t>
      </w:r>
      <w:r>
        <w:rPr>
          <w:rFonts w:hint="eastAsia" w:ascii="Times New Roman" w:hAnsi="Times New Roman"/>
        </w:rPr>
        <w:t xml:space="preserve">GB/T </w:t>
      </w:r>
      <w:r>
        <w:rPr>
          <w:rFonts w:hint="eastAsia"/>
        </w:rPr>
        <w:t>47202 农药分散稳定性测定方法进行。</w:t>
      </w:r>
    </w:p>
    <w:p w14:paraId="45A163F4">
      <w:pPr>
        <w:pStyle w:val="68"/>
      </w:pPr>
      <w:r>
        <w:rPr>
          <w:rFonts w:hint="eastAsia"/>
        </w:rPr>
        <w:t>方法提要</w:t>
      </w:r>
    </w:p>
    <w:p w14:paraId="765E36A1">
      <w:pPr>
        <w:pStyle w:val="59"/>
        <w:rPr>
          <w:rFonts w:hint="eastAsia"/>
        </w:rPr>
      </w:pPr>
      <w:r>
        <w:rPr>
          <w:rFonts w:hint="eastAsia"/>
        </w:rPr>
        <w:t>将农药桶混稀释液分别置于两刻度乳化管中，直立静置一段时间，再颠倒乳化管数次，观察最初、放置一定时间和重新分散后的分散稳定性。</w:t>
      </w:r>
    </w:p>
    <w:p w14:paraId="7CF737EE">
      <w:pPr>
        <w:pStyle w:val="68"/>
      </w:pPr>
      <w:r>
        <w:rPr>
          <w:rFonts w:hint="eastAsia"/>
        </w:rPr>
        <w:t>仪器和试剂</w:t>
      </w:r>
    </w:p>
    <w:p w14:paraId="3DFBB8A1">
      <w:pPr>
        <w:pStyle w:val="59"/>
        <w:rPr>
          <w:rFonts w:hint="eastAsia"/>
        </w:rPr>
      </w:pPr>
      <w:r>
        <w:rPr>
          <w:rFonts w:hint="eastAsia"/>
        </w:rPr>
        <w:t>乳化管：锥形底硼硅玻璃离心管，长15</w:t>
      </w:r>
      <w:r>
        <w:rPr>
          <w:rFonts w:ascii="Times New Roman" w:hAnsi="Times New Roman"/>
        </w:rPr>
        <w:t xml:space="preserve"> cm</w:t>
      </w:r>
      <w:r>
        <w:rPr>
          <w:rFonts w:hint="eastAsia"/>
        </w:rPr>
        <w:t>，刻度至100</w:t>
      </w:r>
      <w:r>
        <w:rPr>
          <w:rFonts w:ascii="Times New Roman" w:hAnsi="Times New Roman"/>
        </w:rPr>
        <w:t xml:space="preserve"> m</w:t>
      </w:r>
      <w:r>
        <w:rPr>
          <w:rFonts w:hint="eastAsia" w:ascii="Times New Roman" w:hAnsi="Times New Roman"/>
        </w:rPr>
        <w:t>L</w:t>
      </w:r>
      <w:r>
        <w:rPr>
          <w:rFonts w:hint="eastAsia"/>
        </w:rPr>
        <w:t>；</w:t>
      </w:r>
    </w:p>
    <w:p w14:paraId="7CE6D758">
      <w:pPr>
        <w:pStyle w:val="59"/>
        <w:rPr>
          <w:rFonts w:hint="eastAsia"/>
        </w:rPr>
      </w:pPr>
      <w:r>
        <w:rPr>
          <w:rFonts w:hint="eastAsia"/>
        </w:rPr>
        <w:t xml:space="preserve">橡胶塞：与乳化管配套，带有80 </w:t>
      </w:r>
      <w:r>
        <w:rPr>
          <w:rFonts w:hint="eastAsia" w:ascii="Times New Roman" w:hAnsi="Times New Roman"/>
        </w:rPr>
        <w:t>mm</w:t>
      </w:r>
      <w:r>
        <w:rPr>
          <w:rFonts w:hint="eastAsia"/>
        </w:rPr>
        <w:t>长玻璃排气管；</w:t>
      </w:r>
    </w:p>
    <w:p w14:paraId="3EE04986">
      <w:pPr>
        <w:pStyle w:val="59"/>
        <w:rPr>
          <w:rFonts w:hint="eastAsia"/>
        </w:rPr>
      </w:pPr>
      <w:r>
        <w:rPr>
          <w:rFonts w:hint="eastAsia"/>
        </w:rPr>
        <w:t xml:space="preserve">刻度量筒：250 </w:t>
      </w:r>
      <w:r>
        <w:rPr>
          <w:rFonts w:hint="eastAsia" w:ascii="Times New Roman" w:hAnsi="Times New Roman"/>
        </w:rPr>
        <w:t>mL</w:t>
      </w:r>
      <w:r>
        <w:rPr>
          <w:rFonts w:hint="eastAsia"/>
        </w:rPr>
        <w:t>；</w:t>
      </w:r>
    </w:p>
    <w:p w14:paraId="347A3596">
      <w:pPr>
        <w:pStyle w:val="59"/>
        <w:rPr>
          <w:rFonts w:hint="eastAsia"/>
        </w:rPr>
      </w:pPr>
      <w:r>
        <w:rPr>
          <w:rFonts w:hint="eastAsia"/>
        </w:rPr>
        <w:t xml:space="preserve">可调节灯：配60 </w:t>
      </w:r>
      <w:r>
        <w:rPr>
          <w:rFonts w:hint="eastAsia" w:ascii="Times New Roman" w:hAnsi="Times New Roman"/>
        </w:rPr>
        <w:t>W</w:t>
      </w:r>
      <w:r>
        <w:rPr>
          <w:rFonts w:hint="eastAsia"/>
        </w:rPr>
        <w:t>珍珠泡。</w:t>
      </w:r>
    </w:p>
    <w:p w14:paraId="038377D7">
      <w:pPr>
        <w:pStyle w:val="68"/>
      </w:pPr>
      <w:r>
        <w:rPr>
          <w:rFonts w:hint="eastAsia"/>
        </w:rPr>
        <w:t>测定步骤</w:t>
      </w:r>
    </w:p>
    <w:p w14:paraId="16DA4502">
      <w:pPr>
        <w:pStyle w:val="59"/>
        <w:rPr>
          <w:rFonts w:hint="eastAsia"/>
        </w:rPr>
      </w:pPr>
      <w:r>
        <w:rPr>
          <w:rFonts w:hint="eastAsia"/>
        </w:rPr>
        <w:t xml:space="preserve">在室温下（23 </w:t>
      </w:r>
      <w:r>
        <w:rPr>
          <w:rFonts w:ascii="Times New Roman" w:hAnsi="Times New Roman"/>
        </w:rPr>
        <w:t>℃</w:t>
      </w:r>
      <w:r>
        <w:rPr>
          <w:rFonts w:hint="eastAsia"/>
        </w:rPr>
        <w:t xml:space="preserve">±2 </w:t>
      </w:r>
      <w:r>
        <w:rPr>
          <w:rFonts w:ascii="Times New Roman" w:hAnsi="Times New Roman"/>
        </w:rPr>
        <w:t>℃</w:t>
      </w:r>
      <w:r>
        <w:rPr>
          <w:rFonts w:hint="eastAsia"/>
        </w:rPr>
        <w:t xml:space="preserve">），分别向两个250 </w:t>
      </w:r>
      <w:r>
        <w:rPr>
          <w:rFonts w:ascii="Times New Roman" w:hAnsi="Times New Roman"/>
        </w:rPr>
        <w:t>mL</w:t>
      </w:r>
      <w:r>
        <w:rPr>
          <w:rFonts w:hint="eastAsia"/>
        </w:rPr>
        <w:t xml:space="preserve">量筒加入标准硬水至240 </w:t>
      </w:r>
      <w:r>
        <w:rPr>
          <w:rFonts w:hint="eastAsia" w:ascii="Times New Roman" w:hAnsi="Times New Roman"/>
        </w:rPr>
        <w:t>mL</w:t>
      </w:r>
      <w:r>
        <w:rPr>
          <w:rFonts w:hint="eastAsia"/>
        </w:rPr>
        <w:t xml:space="preserve">，用移液管分别向量筒中滴加桶混液试样5 </w:t>
      </w:r>
      <w:r>
        <w:rPr>
          <w:rFonts w:hint="eastAsia" w:ascii="Times New Roman" w:hAnsi="Times New Roman"/>
        </w:rPr>
        <w:t>g</w:t>
      </w:r>
      <w:r>
        <w:rPr>
          <w:rFonts w:hint="eastAsia"/>
        </w:rPr>
        <w:t xml:space="preserve">（移液管尖端尽量贴近水面上方），加标准硬水至刻度。以量筒中部为轴心，上下颠倒30次，每颠倒一次控制2 </w:t>
      </w:r>
      <w:r>
        <w:rPr>
          <w:rFonts w:hint="eastAsia" w:ascii="Times New Roman" w:hAnsi="Times New Roman"/>
        </w:rPr>
        <w:t>s</w:t>
      </w:r>
      <w:r>
        <w:rPr>
          <w:rFonts w:hint="eastAsia"/>
        </w:rPr>
        <w:t>，确保量筒中液体不发生反冲。将其中一个量筒中的分散液做沉淀和乳膏试验，另一量筒做再分散试验。</w:t>
      </w:r>
    </w:p>
    <w:p w14:paraId="4E96292E">
      <w:pPr>
        <w:pStyle w:val="59"/>
        <w:rPr>
          <w:rFonts w:hint="eastAsia"/>
        </w:rPr>
      </w:pPr>
      <w:r>
        <w:rPr>
          <w:rFonts w:hint="eastAsia"/>
        </w:rPr>
        <w:t>1) 最初分散性：观察分散液，有无沉淀、乳膏或浮油。</w:t>
      </w:r>
    </w:p>
    <w:p w14:paraId="71B6A02D">
      <w:pPr>
        <w:pStyle w:val="59"/>
        <w:rPr>
          <w:rFonts w:hint="eastAsia"/>
        </w:rPr>
      </w:pPr>
      <w:r>
        <w:rPr>
          <w:rFonts w:hint="eastAsia"/>
        </w:rPr>
        <w:t xml:space="preserve">2) 放置30 </w:t>
      </w:r>
      <w:r>
        <w:rPr>
          <w:rFonts w:hint="eastAsia" w:ascii="Times New Roman" w:hAnsi="Times New Roman"/>
        </w:rPr>
        <w:t>min</w:t>
      </w:r>
      <w:r>
        <w:rPr>
          <w:rFonts w:hint="eastAsia"/>
        </w:rPr>
        <w:t>后记录沉淀、乳膏或浮油体积。</w:t>
      </w:r>
    </w:p>
    <w:p w14:paraId="75407BAD">
      <w:pPr>
        <w:pStyle w:val="68"/>
      </w:pPr>
      <w:r>
        <w:rPr>
          <w:rFonts w:hint="eastAsia"/>
        </w:rPr>
        <w:t>沉淀体积的测定</w:t>
      </w:r>
    </w:p>
    <w:p w14:paraId="4AA1CF8D">
      <w:pPr>
        <w:pStyle w:val="59"/>
        <w:rPr>
          <w:rFonts w:hint="eastAsia"/>
        </w:rPr>
      </w:pPr>
      <w:r>
        <w:rPr>
          <w:rFonts w:hint="eastAsia"/>
        </w:rPr>
        <w:t xml:space="preserve">取上述制备的分散稀释液100 </w:t>
      </w:r>
      <w:r>
        <w:rPr>
          <w:rFonts w:ascii="Times New Roman" w:hAnsi="Times New Roman"/>
        </w:rPr>
        <w:t>mL</w:t>
      </w:r>
      <w:r>
        <w:rPr>
          <w:rFonts w:hint="eastAsia"/>
        </w:rPr>
        <w:t xml:space="preserve">于乳化管中，盖上塞子，在室温下直立30 </w:t>
      </w:r>
      <w:r>
        <w:rPr>
          <w:rFonts w:hint="eastAsia" w:ascii="Times New Roman" w:hAnsi="Times New Roman"/>
        </w:rPr>
        <w:t>min</w:t>
      </w:r>
      <w:r>
        <w:rPr>
          <w:rFonts w:hint="eastAsia"/>
        </w:rPr>
        <w:t xml:space="preserve">，用灯照亮乳化管，调整光线角度和位置，达到对两相界面的最佳观察，如果有沉淀，记录沉淀体积（精确至±0.05 </w:t>
      </w:r>
      <w:r>
        <w:rPr>
          <w:rFonts w:hint="eastAsia" w:ascii="Times New Roman" w:hAnsi="Times New Roman"/>
        </w:rPr>
        <w:t>mL</w:t>
      </w:r>
      <w:r>
        <w:rPr>
          <w:rFonts w:hint="eastAsia"/>
        </w:rPr>
        <w:t>）。</w:t>
      </w:r>
    </w:p>
    <w:p w14:paraId="0C1C7FA0">
      <w:pPr>
        <w:pStyle w:val="68"/>
      </w:pPr>
      <w:r>
        <w:rPr>
          <w:rFonts w:hint="eastAsia"/>
        </w:rPr>
        <w:t>乳膏或浮油体积的测定</w:t>
      </w:r>
    </w:p>
    <w:p w14:paraId="64F82DC9">
      <w:pPr>
        <w:pStyle w:val="59"/>
        <w:rPr>
          <w:rFonts w:hint="eastAsia"/>
          <w:szCs w:val="21"/>
        </w:rPr>
      </w:pPr>
      <w:r>
        <w:rPr>
          <w:rFonts w:hint="eastAsia"/>
        </w:rPr>
        <w:t>将</w:t>
      </w:r>
      <w:r>
        <w:rPr>
          <w:rFonts w:hint="eastAsia"/>
          <w:szCs w:val="21"/>
        </w:rPr>
        <w:t>上述制备的同一分散稀释液倒入乳化管中，至离管顶端1</w:t>
      </w:r>
      <w:r>
        <w:rPr>
          <w:rFonts w:ascii="Times New Roman" w:hAnsi="Times New Roman"/>
          <w:w w:val="50"/>
          <w:szCs w:val="21"/>
        </w:rPr>
        <w:t xml:space="preserve"> </w:t>
      </w:r>
      <w:r>
        <w:rPr>
          <w:rFonts w:ascii="Times New Roman" w:hAnsi="Times New Roman"/>
          <w:szCs w:val="21"/>
        </w:rPr>
        <w:t>mm</w:t>
      </w:r>
      <w:r>
        <w:rPr>
          <w:rFonts w:hint="eastAsia"/>
          <w:szCs w:val="21"/>
        </w:rPr>
        <w:t>，塞上带有排气管的橡胶塞，排除乳化管中所有空气，去掉溢出的分散液，将乳化管倒置，在室温下保持30</w:t>
      </w:r>
      <w:r>
        <w:rPr>
          <w:rFonts w:hint="eastAsia"/>
          <w:w w:val="50"/>
          <w:szCs w:val="21"/>
        </w:rPr>
        <w:t xml:space="preserve"> </w:t>
      </w:r>
      <w:r>
        <w:rPr>
          <w:rFonts w:hint="eastAsia" w:ascii="Times New Roman" w:hAnsi="Times New Roman"/>
          <w:w w:val="50"/>
          <w:szCs w:val="21"/>
        </w:rPr>
        <w:t>min</w:t>
      </w:r>
      <w:r>
        <w:rPr>
          <w:rFonts w:hint="eastAsia"/>
          <w:szCs w:val="21"/>
        </w:rPr>
        <w:t>，没有液体从乳化管排出就不必密封玻璃管的开口端，记录已形成的乳膏或浮油体积，测定乳化管总体积，按以下式（</w:t>
      </w:r>
      <w:r>
        <w:rPr>
          <w:szCs w:val="21"/>
        </w:rPr>
        <w:t>1</w:t>
      </w:r>
      <w:r>
        <w:rPr>
          <w:rFonts w:hint="eastAsia"/>
          <w:szCs w:val="21"/>
        </w:rPr>
        <w:t>）校正测量出的乳膏或浮油的体积：</w:t>
      </w:r>
    </w:p>
    <w:p w14:paraId="09E0DA1E">
      <w:pPr>
        <w:pStyle w:val="116"/>
        <w:rPr>
          <w:rFonts w:hint="eastAsia"/>
        </w:rPr>
      </w:pPr>
      <w:r>
        <w:rPr>
          <w:rFonts w:hint="eastAsia"/>
        </w:rPr>
        <w:tab/>
      </w:r>
      <m:oMath>
        <m:r>
          <m:rPr>
            <m:sty m:val="p"/>
          </m:rPr>
          <w:rPr>
            <w:rFonts w:ascii="Cambria Math" w:hAnsi="Cambria Math"/>
          </w:rPr>
          <m:t>F=</m:t>
        </m:r>
        <m:f>
          <m:fPr>
            <m:ctrlPr>
              <w:rPr>
                <w:rFonts w:ascii="Cambria Math" w:hAnsi="Cambria Math"/>
                <w:iCs/>
              </w:rPr>
            </m:ctrlPr>
          </m:fPr>
          <m:num>
            <m:r>
              <m:rPr/>
              <w:rPr>
                <w:rFonts w:ascii="Cambria Math" w:hAnsi="Cambria Math"/>
              </w:rPr>
              <m:t>100</m:t>
            </m:r>
            <m:ctrlPr>
              <w:rPr>
                <w:rFonts w:ascii="Cambria Math" w:hAnsi="Cambria Math"/>
                <w:iCs/>
              </w:rPr>
            </m:ctrlPr>
          </m:num>
          <m:den>
            <m:r>
              <m:rPr/>
              <w:rPr>
                <w:rFonts w:ascii="Cambria Math" w:hAnsi="Cambria Math"/>
              </w:rPr>
              <m:t>V0</m:t>
            </m:r>
            <m:ctrlPr>
              <w:rPr>
                <w:rFonts w:ascii="Cambria Math" w:hAnsi="Cambria Math"/>
                <w:iCs/>
              </w:rPr>
            </m:ctrlPr>
          </m:den>
        </m:f>
      </m:oMath>
      <w:r>
        <w:rPr>
          <w:rFonts w:hint="eastAsia" w:ascii="微软雅黑" w:hAnsi="微软雅黑" w:eastAsia="微软雅黑"/>
        </w:rPr>
        <w:tab/>
      </w:r>
      <w:r>
        <w:rPr>
          <w:rFonts w:hint="eastAsia"/>
        </w:rPr>
        <w:t>(</w:t>
      </w:r>
      <w:r>
        <w:rPr>
          <w:rFonts w:hint="eastAsia"/>
        </w:rPr>
        <w:fldChar w:fldCharType="begin"/>
      </w:r>
      <w:r>
        <w:rPr>
          <w:rFonts w:hint="eastAsia"/>
        </w:rPr>
        <w:instrText xml:space="preserve"> AUTONUM </w:instrText>
      </w:r>
      <w:r>
        <w:rPr>
          <w:rFonts w:hint="eastAsia"/>
        </w:rPr>
        <w:fldChar w:fldCharType="end"/>
      </w:r>
      <w:r>
        <w:rPr>
          <w:rFonts w:hint="eastAsia"/>
        </w:rPr>
        <w:t>)</w:t>
      </w:r>
    </w:p>
    <w:p w14:paraId="45A00C94">
      <w:pPr>
        <w:pStyle w:val="58"/>
        <w:ind w:firstLine="420"/>
      </w:pPr>
      <w:r>
        <w:rPr>
          <w:rFonts w:hint="eastAsia"/>
        </w:rPr>
        <w:t>式中：</w:t>
      </w:r>
    </w:p>
    <w:p w14:paraId="74268B73">
      <w:pPr>
        <w:pStyle w:val="59"/>
        <w:rPr>
          <w:rFonts w:hint="eastAsia" w:cs="黑体"/>
          <w:color w:val="000000"/>
          <w:szCs w:val="21"/>
        </w:rPr>
      </w:pPr>
      <w:r>
        <w:rPr>
          <w:rFonts w:hint="eastAsia"/>
        </w:rPr>
        <w:t>F</w:t>
      </w:r>
      <w:r>
        <w:rPr>
          <w:rFonts w:ascii="Times New Roman" w:hAnsi="Times New Roman"/>
        </w:rPr>
        <w:t>——</w:t>
      </w:r>
      <w:r>
        <w:rPr>
          <w:rFonts w:hint="eastAsia" w:cs="黑体"/>
          <w:color w:val="000000"/>
          <w:szCs w:val="21"/>
        </w:rPr>
        <w:t>测量油膏或浮油体积时的校正因子。</w:t>
      </w:r>
    </w:p>
    <w:p w14:paraId="161CF984">
      <w:pPr>
        <w:pStyle w:val="59"/>
        <w:rPr>
          <w:rFonts w:hint="eastAsia"/>
        </w:rPr>
      </w:pPr>
      <w:r>
        <w:rPr>
          <w:rFonts w:hint="eastAsia" w:cs="黑体"/>
          <w:color w:val="000000"/>
          <w:szCs w:val="21"/>
        </w:rPr>
        <w:t>V0</w:t>
      </w:r>
      <w:r>
        <w:rPr>
          <w:rFonts w:ascii="Times New Roman" w:hAnsi="Times New Roman"/>
        </w:rPr>
        <w:t>——</w:t>
      </w:r>
      <w:r>
        <w:rPr>
          <w:rFonts w:hint="eastAsia" w:cs="黑体"/>
          <w:color w:val="000000"/>
          <w:szCs w:val="21"/>
        </w:rPr>
        <w:t>乳化管总体积。</w:t>
      </w:r>
    </w:p>
    <w:p w14:paraId="04AE6AD3">
      <w:pPr>
        <w:pStyle w:val="68"/>
      </w:pPr>
      <w:r>
        <w:rPr>
          <w:rFonts w:hint="eastAsia"/>
        </w:rPr>
        <w:t>再分散性测定</w:t>
      </w:r>
    </w:p>
    <w:p w14:paraId="3244C31F">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 xml:space="preserve">将制备的另一个分散稀释液量筒在室温下静置24 </w:t>
      </w:r>
      <w:r>
        <w:rPr>
          <w:rFonts w:ascii="Times New Roman" w:hAnsi="Times New Roman"/>
          <w:kern w:val="0"/>
          <w:szCs w:val="20"/>
        </w:rPr>
        <w:t>h</w:t>
      </w:r>
      <w:r>
        <w:rPr>
          <w:rFonts w:hint="eastAsia" w:ascii="宋体" w:hAnsi="宋体"/>
          <w:kern w:val="0"/>
          <w:szCs w:val="20"/>
        </w:rPr>
        <w:t>，按5</w:t>
      </w:r>
      <w:r>
        <w:rPr>
          <w:rFonts w:ascii="宋体" w:hAnsi="宋体"/>
          <w:kern w:val="0"/>
          <w:szCs w:val="20"/>
        </w:rPr>
        <w:t>.2.8.3</w:t>
      </w:r>
      <w:r>
        <w:rPr>
          <w:rFonts w:hint="eastAsia" w:ascii="宋体" w:hAnsi="宋体"/>
          <w:kern w:val="0"/>
          <w:szCs w:val="20"/>
        </w:rPr>
        <w:t>方法颠倒量筒30次，观察2</w:t>
      </w:r>
      <w:r>
        <w:rPr>
          <w:rFonts w:ascii="宋体" w:hAnsi="宋体"/>
          <w:kern w:val="0"/>
          <w:szCs w:val="20"/>
        </w:rPr>
        <w:t xml:space="preserve">4 </w:t>
      </w:r>
      <w:r>
        <w:rPr>
          <w:rFonts w:hint="eastAsia" w:ascii="Times New Roman" w:hAnsi="Times New Roman"/>
          <w:kern w:val="0"/>
          <w:szCs w:val="20"/>
        </w:rPr>
        <w:t>h</w:t>
      </w:r>
      <w:r>
        <w:rPr>
          <w:rFonts w:hint="eastAsia" w:ascii="宋体" w:hAnsi="宋体"/>
          <w:kern w:val="0"/>
          <w:szCs w:val="20"/>
        </w:rPr>
        <w:t>后分散稳定性。</w:t>
      </w:r>
    </w:p>
    <w:p w14:paraId="12FE4505">
      <w:pPr>
        <w:pStyle w:val="108"/>
        <w:ind w:left="0"/>
      </w:pPr>
      <w:r>
        <w:rPr>
          <w:rFonts w:hint="eastAsia"/>
        </w:rPr>
        <w:t>雾滴沉积密度的测定</w:t>
      </w:r>
    </w:p>
    <w:p w14:paraId="3FAA929B">
      <w:pPr>
        <w:widowControl/>
        <w:tabs>
          <w:tab w:val="center" w:pos="4201"/>
          <w:tab w:val="right" w:leader="dot" w:pos="9298"/>
        </w:tabs>
        <w:autoSpaceDE w:val="0"/>
        <w:autoSpaceDN w:val="0"/>
        <w:snapToGrid w:val="0"/>
        <w:spacing w:line="240" w:lineRule="auto"/>
        <w:ind w:left="283" w:leftChars="135" w:firstLine="420" w:firstLineChars="200"/>
        <w:rPr>
          <w:rFonts w:ascii="宋体" w:hAnsi="宋体"/>
          <w:kern w:val="0"/>
          <w:szCs w:val="20"/>
        </w:rPr>
      </w:pPr>
      <w:r>
        <w:rPr>
          <w:rFonts w:ascii="宋体" w:hAnsi="宋体"/>
          <w:kern w:val="0"/>
          <w:szCs w:val="20"/>
        </w:rPr>
        <w:t>适用于植保无人飞机的农药桶混液雾滴沉积密度的检测参照</w:t>
      </w:r>
      <w:r>
        <w:rPr>
          <w:rFonts w:ascii="Times New Roman" w:hAnsi="Times New Roman"/>
          <w:kern w:val="0"/>
          <w:szCs w:val="20"/>
        </w:rPr>
        <w:t>T/CCPIA</w:t>
      </w:r>
      <w:bookmarkStart w:id="30" w:name="_GoBack"/>
      <w:r>
        <w:rPr>
          <w:rFonts w:ascii="宋体" w:hAnsi="宋体"/>
          <w:kern w:val="0"/>
          <w:szCs w:val="20"/>
          <w:highlight w:val="none"/>
        </w:rPr>
        <w:t xml:space="preserve"> ***</w:t>
      </w:r>
      <w:bookmarkEnd w:id="30"/>
      <w:r>
        <w:rPr>
          <w:rFonts w:ascii="宋体" w:hAnsi="宋体"/>
          <w:kern w:val="0"/>
          <w:szCs w:val="20"/>
        </w:rPr>
        <w:t xml:space="preserve"> 植保无人飞机田间喷雾作业雾滴沉积分布测量方法执行。</w:t>
      </w:r>
    </w:p>
    <w:p w14:paraId="31DA98CD">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说明：以上标准同步评审，有了标准号以后填入。</w:t>
      </w:r>
    </w:p>
    <w:p w14:paraId="0DC70A38">
      <w:pPr>
        <w:pStyle w:val="108"/>
        <w:ind w:left="0"/>
      </w:pPr>
      <w:r>
        <w:rPr>
          <w:rFonts w:hint="eastAsia"/>
        </w:rPr>
        <w:t>低温稳定性试验</w:t>
      </w:r>
    </w:p>
    <w:p w14:paraId="27DFCBE1">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按</w:t>
      </w:r>
      <w:r>
        <w:rPr>
          <w:rFonts w:ascii="Times New Roman" w:hAnsi="Times New Roman"/>
          <w:kern w:val="0"/>
          <w:szCs w:val="20"/>
        </w:rPr>
        <w:t>GB/T</w:t>
      </w:r>
      <w:r>
        <w:rPr>
          <w:rFonts w:ascii="宋体" w:hAnsi="宋体"/>
          <w:kern w:val="0"/>
          <w:szCs w:val="20"/>
        </w:rPr>
        <w:t xml:space="preserve"> 19137</w:t>
      </w:r>
      <w:r>
        <w:rPr>
          <w:rFonts w:hint="eastAsia" w:ascii="宋体" w:hAnsi="宋体"/>
          <w:kern w:val="0"/>
          <w:szCs w:val="20"/>
        </w:rPr>
        <w:t>—</w:t>
      </w:r>
      <w:r>
        <w:rPr>
          <w:rFonts w:ascii="宋体" w:hAnsi="宋体"/>
          <w:kern w:val="0"/>
          <w:szCs w:val="20"/>
        </w:rPr>
        <w:t>2003</w:t>
      </w:r>
      <w:r>
        <w:rPr>
          <w:rFonts w:hint="eastAsia" w:ascii="宋体" w:hAnsi="宋体"/>
          <w:kern w:val="0"/>
          <w:szCs w:val="20"/>
        </w:rPr>
        <w:t>中“悬浮制剂”规定的方法进行。按本标准6</w:t>
      </w:r>
      <w:r>
        <w:rPr>
          <w:rFonts w:ascii="宋体" w:hAnsi="宋体"/>
          <w:kern w:val="0"/>
          <w:szCs w:val="20"/>
        </w:rPr>
        <w:t>.3</w:t>
      </w:r>
      <w:r>
        <w:rPr>
          <w:rFonts w:hint="eastAsia" w:ascii="宋体" w:hAnsi="宋体"/>
          <w:kern w:val="0"/>
          <w:szCs w:val="20"/>
        </w:rPr>
        <w:t>进行湿筛试验，其结果符合标准要求为合格。</w:t>
      </w:r>
    </w:p>
    <w:p w14:paraId="4F9D3FCB">
      <w:pPr>
        <w:pStyle w:val="108"/>
        <w:ind w:left="0"/>
      </w:pPr>
      <w:r>
        <w:rPr>
          <w:rFonts w:hint="eastAsia"/>
        </w:rPr>
        <w:t>功能性检测方法</w:t>
      </w:r>
    </w:p>
    <w:p w14:paraId="5EA52C68">
      <w:pPr>
        <w:pStyle w:val="68"/>
      </w:pPr>
      <w:r>
        <w:rPr>
          <w:rFonts w:hint="eastAsia"/>
        </w:rPr>
        <w:t>接触角</w:t>
      </w:r>
    </w:p>
    <w:p w14:paraId="01A56D93">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按</w:t>
      </w:r>
      <w:r>
        <w:rPr>
          <w:rFonts w:hint="eastAsia" w:ascii="Times New Roman" w:hAnsi="Times New Roman"/>
          <w:kern w:val="0"/>
          <w:szCs w:val="20"/>
        </w:rPr>
        <w:t xml:space="preserve">T/CCPIA </w:t>
      </w:r>
      <w:r>
        <w:rPr>
          <w:rFonts w:hint="eastAsia" w:ascii="宋体" w:hAnsi="宋体"/>
          <w:kern w:val="0"/>
          <w:szCs w:val="20"/>
        </w:rPr>
        <w:t>171 润湿性桶混助剂施用限量及评价方法进行。</w:t>
      </w:r>
    </w:p>
    <w:p w14:paraId="42694112">
      <w:pPr>
        <w:pStyle w:val="68"/>
      </w:pPr>
      <w:r>
        <w:rPr>
          <w:rFonts w:hint="eastAsia"/>
        </w:rPr>
        <w:t xml:space="preserve">润湿力 </w:t>
      </w:r>
    </w:p>
    <w:p w14:paraId="5AF230DF">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按</w:t>
      </w:r>
      <w:r>
        <w:rPr>
          <w:rFonts w:hint="eastAsia" w:ascii="Times New Roman" w:hAnsi="Times New Roman"/>
          <w:kern w:val="0"/>
          <w:szCs w:val="20"/>
        </w:rPr>
        <w:t>GB</w:t>
      </w:r>
      <w:r>
        <w:rPr>
          <w:rFonts w:ascii="Times New Roman" w:hAnsi="Times New Roman"/>
          <w:kern w:val="0"/>
          <w:szCs w:val="20"/>
        </w:rPr>
        <w:t>/</w:t>
      </w:r>
      <w:r>
        <w:rPr>
          <w:rFonts w:hint="eastAsia" w:ascii="Times New Roman" w:hAnsi="Times New Roman"/>
          <w:kern w:val="0"/>
          <w:szCs w:val="20"/>
        </w:rPr>
        <w:t>T</w:t>
      </w:r>
      <w:r>
        <w:rPr>
          <w:rFonts w:hint="eastAsia" w:ascii="宋体" w:hAnsi="宋体"/>
          <w:kern w:val="0"/>
          <w:szCs w:val="20"/>
        </w:rPr>
        <w:t xml:space="preserve"> 11983 表面活性剂润湿力的测定浸没法进行。</w:t>
      </w:r>
    </w:p>
    <w:p w14:paraId="1849BE72">
      <w:pPr>
        <w:pStyle w:val="68"/>
      </w:pPr>
      <w:r>
        <w:rPr>
          <w:rFonts w:hint="eastAsia"/>
        </w:rPr>
        <w:t>桶混兼容性</w:t>
      </w:r>
    </w:p>
    <w:p w14:paraId="601BD050">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采用如下动态法测定农药桶混液</w:t>
      </w:r>
      <w:r>
        <w:rPr>
          <w:rFonts w:ascii="宋体" w:hAnsi="宋体"/>
          <w:kern w:val="0"/>
          <w:szCs w:val="20"/>
        </w:rPr>
        <w:t>二次稀释</w:t>
      </w:r>
      <w:r>
        <w:rPr>
          <w:rFonts w:hint="eastAsia" w:ascii="宋体" w:hAnsi="宋体"/>
          <w:kern w:val="0"/>
          <w:szCs w:val="20"/>
        </w:rPr>
        <w:t>初筛</w:t>
      </w:r>
      <w:r>
        <w:rPr>
          <w:rFonts w:ascii="宋体" w:hAnsi="宋体"/>
          <w:kern w:val="0"/>
          <w:szCs w:val="20"/>
        </w:rPr>
        <w:t>和空白试验</w:t>
      </w:r>
      <w:r>
        <w:rPr>
          <w:rFonts w:hint="eastAsia" w:ascii="宋体" w:hAnsi="宋体"/>
          <w:kern w:val="0"/>
          <w:szCs w:val="20"/>
        </w:rPr>
        <w:t>的桶混兼容性</w:t>
      </w:r>
      <w:r>
        <w:rPr>
          <w:rFonts w:ascii="宋体" w:hAnsi="宋体"/>
          <w:kern w:val="0"/>
          <w:szCs w:val="20"/>
        </w:rPr>
        <w:t>，</w:t>
      </w:r>
      <w:r>
        <w:rPr>
          <w:rFonts w:hint="eastAsia" w:ascii="宋体" w:hAnsi="宋体"/>
          <w:kern w:val="0"/>
          <w:szCs w:val="20"/>
        </w:rPr>
        <w:t>判断</w:t>
      </w:r>
      <w:r>
        <w:rPr>
          <w:rFonts w:ascii="宋体" w:hAnsi="宋体"/>
          <w:kern w:val="0"/>
          <w:szCs w:val="20"/>
        </w:rPr>
        <w:t>待测产品与其他</w:t>
      </w:r>
      <w:r>
        <w:rPr>
          <w:rFonts w:hint="eastAsia" w:ascii="宋体" w:hAnsi="宋体"/>
          <w:kern w:val="0"/>
          <w:szCs w:val="20"/>
        </w:rPr>
        <w:t>组分</w:t>
      </w:r>
      <w:r>
        <w:rPr>
          <w:rFonts w:ascii="宋体" w:hAnsi="宋体"/>
          <w:kern w:val="0"/>
          <w:szCs w:val="20"/>
        </w:rPr>
        <w:t>的桶混兼容</w:t>
      </w:r>
      <w:r>
        <w:rPr>
          <w:rFonts w:hint="eastAsia" w:ascii="宋体" w:hAnsi="宋体"/>
          <w:kern w:val="0"/>
          <w:szCs w:val="20"/>
        </w:rPr>
        <w:t>性：</w:t>
      </w:r>
    </w:p>
    <w:p w14:paraId="2613700B">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—在室温</w:t>
      </w:r>
      <w:r>
        <w:rPr>
          <w:rFonts w:ascii="宋体" w:hAnsi="宋体"/>
          <w:kern w:val="0"/>
          <w:szCs w:val="20"/>
        </w:rPr>
        <w:t>（</w:t>
      </w:r>
      <w:r>
        <w:rPr>
          <w:rFonts w:hint="eastAsia" w:ascii="宋体" w:hAnsi="宋体"/>
          <w:kern w:val="0"/>
          <w:szCs w:val="20"/>
        </w:rPr>
        <w:t>20</w:t>
      </w:r>
      <w:r>
        <w:rPr>
          <w:rFonts w:ascii="宋体" w:hAnsi="宋体"/>
          <w:kern w:val="0"/>
          <w:szCs w:val="20"/>
        </w:rPr>
        <w:t xml:space="preserve"> </w:t>
      </w:r>
      <w:r>
        <w:rPr>
          <w:rFonts w:ascii="Times New Roman" w:hAnsi="Times New Roman"/>
          <w:kern w:val="0"/>
          <w:szCs w:val="20"/>
        </w:rPr>
        <w:t>℃</w:t>
      </w:r>
      <w:r>
        <w:rPr>
          <w:rFonts w:hint="eastAsia" w:ascii="宋体" w:hAnsi="宋体"/>
          <w:kern w:val="0"/>
          <w:szCs w:val="20"/>
        </w:rPr>
        <w:t>±5</w:t>
      </w:r>
      <w:r>
        <w:rPr>
          <w:rFonts w:ascii="宋体" w:hAnsi="宋体"/>
          <w:kern w:val="0"/>
          <w:szCs w:val="20"/>
        </w:rPr>
        <w:t xml:space="preserve"> </w:t>
      </w:r>
      <w:r>
        <w:rPr>
          <w:rFonts w:ascii="Times New Roman" w:hAnsi="Times New Roman"/>
          <w:kern w:val="0"/>
          <w:szCs w:val="20"/>
        </w:rPr>
        <w:t>℃</w:t>
      </w:r>
      <w:r>
        <w:rPr>
          <w:rFonts w:ascii="宋体" w:hAnsi="宋体"/>
          <w:kern w:val="0"/>
          <w:szCs w:val="20"/>
        </w:rPr>
        <w:t>）</w:t>
      </w:r>
      <w:r>
        <w:rPr>
          <w:rFonts w:hint="eastAsia" w:ascii="宋体" w:hAnsi="宋体"/>
          <w:kern w:val="0"/>
          <w:szCs w:val="20"/>
        </w:rPr>
        <w:t>条件下</w:t>
      </w:r>
      <w:r>
        <w:rPr>
          <w:rFonts w:ascii="宋体" w:hAnsi="宋体"/>
          <w:kern w:val="0"/>
          <w:szCs w:val="20"/>
        </w:rPr>
        <w:t>，</w:t>
      </w:r>
      <w:r>
        <w:rPr>
          <w:rFonts w:hint="eastAsia" w:ascii="宋体" w:hAnsi="宋体"/>
          <w:kern w:val="0"/>
          <w:szCs w:val="20"/>
        </w:rPr>
        <w:t xml:space="preserve">于2 </w:t>
      </w:r>
      <w:r>
        <w:rPr>
          <w:rFonts w:ascii="Times New Roman" w:hAnsi="Times New Roman"/>
          <w:kern w:val="0"/>
          <w:szCs w:val="20"/>
        </w:rPr>
        <w:t>L</w:t>
      </w:r>
      <w:r>
        <w:rPr>
          <w:rFonts w:ascii="宋体" w:hAnsi="宋体"/>
          <w:kern w:val="0"/>
          <w:szCs w:val="20"/>
        </w:rPr>
        <w:t>烧杯中加入</w:t>
      </w:r>
      <w:r>
        <w:rPr>
          <w:rFonts w:hint="eastAsia" w:ascii="宋体" w:hAnsi="宋体"/>
          <w:kern w:val="0"/>
          <w:szCs w:val="20"/>
        </w:rPr>
        <w:t>800</w:t>
      </w:r>
      <w:r>
        <w:rPr>
          <w:rFonts w:ascii="宋体" w:hAnsi="宋体"/>
          <w:kern w:val="0"/>
          <w:szCs w:val="20"/>
        </w:rPr>
        <w:t xml:space="preserve"> </w:t>
      </w:r>
      <w:r>
        <w:rPr>
          <w:rFonts w:ascii="Times New Roman" w:hAnsi="Times New Roman"/>
          <w:kern w:val="0"/>
          <w:szCs w:val="20"/>
        </w:rPr>
        <w:t>mL</w:t>
      </w:r>
      <w:r>
        <w:rPr>
          <w:rFonts w:hint="eastAsia" w:ascii="宋体" w:hAnsi="宋体"/>
          <w:kern w:val="0"/>
          <w:szCs w:val="20"/>
        </w:rPr>
        <w:t>硬水</w:t>
      </w:r>
      <w:r>
        <w:rPr>
          <w:rFonts w:ascii="Times New Roman" w:hAnsi="Times New Roman"/>
          <w:kern w:val="0"/>
          <w:szCs w:val="20"/>
        </w:rPr>
        <w:t>D</w:t>
      </w:r>
      <w:r>
        <w:rPr>
          <w:rFonts w:hint="eastAsia" w:ascii="宋体" w:hAnsi="宋体"/>
          <w:kern w:val="0"/>
          <w:szCs w:val="20"/>
        </w:rPr>
        <w:t>，调整桨式搅拌器</w:t>
      </w:r>
      <w:r>
        <w:rPr>
          <w:rFonts w:ascii="宋体" w:hAnsi="宋体"/>
          <w:kern w:val="0"/>
          <w:szCs w:val="20"/>
        </w:rPr>
        <w:t>，</w:t>
      </w:r>
      <w:r>
        <w:rPr>
          <w:rFonts w:hint="eastAsia" w:ascii="宋体" w:hAnsi="宋体"/>
          <w:kern w:val="0"/>
          <w:szCs w:val="20"/>
        </w:rPr>
        <w:t>桨</w:t>
      </w:r>
      <w:r>
        <w:rPr>
          <w:rFonts w:ascii="宋体" w:hAnsi="宋体"/>
          <w:kern w:val="0"/>
          <w:szCs w:val="20"/>
        </w:rPr>
        <w:t>离</w:t>
      </w:r>
      <w:r>
        <w:rPr>
          <w:rFonts w:hint="eastAsia" w:ascii="宋体" w:hAnsi="宋体"/>
          <w:kern w:val="0"/>
          <w:szCs w:val="20"/>
        </w:rPr>
        <w:t>烧杯</w:t>
      </w:r>
      <w:r>
        <w:rPr>
          <w:rFonts w:ascii="宋体" w:hAnsi="宋体"/>
          <w:kern w:val="0"/>
          <w:szCs w:val="20"/>
        </w:rPr>
        <w:t>底部</w:t>
      </w:r>
      <w:r>
        <w:rPr>
          <w:rFonts w:hint="eastAsia" w:ascii="宋体" w:hAnsi="宋体"/>
          <w:kern w:val="0"/>
          <w:szCs w:val="20"/>
        </w:rPr>
        <w:t>1</w:t>
      </w:r>
      <w:r>
        <w:rPr>
          <w:rFonts w:ascii="宋体" w:hAnsi="宋体"/>
          <w:kern w:val="0"/>
          <w:szCs w:val="20"/>
        </w:rPr>
        <w:t xml:space="preserve"> </w:t>
      </w:r>
      <w:r>
        <w:rPr>
          <w:rFonts w:ascii="Times New Roman" w:hAnsi="Times New Roman"/>
          <w:kern w:val="0"/>
          <w:szCs w:val="20"/>
        </w:rPr>
        <w:t>cm</w:t>
      </w:r>
      <w:r>
        <w:rPr>
          <w:rFonts w:hint="eastAsia" w:ascii="宋体" w:hAnsi="宋体"/>
          <w:kern w:val="0"/>
          <w:szCs w:val="20"/>
        </w:rPr>
        <w:t>，转速</w:t>
      </w:r>
      <w:r>
        <w:rPr>
          <w:rFonts w:ascii="宋体" w:hAnsi="宋体"/>
          <w:kern w:val="0"/>
          <w:szCs w:val="20"/>
        </w:rPr>
        <w:t>调整为</w:t>
      </w:r>
      <w:r>
        <w:rPr>
          <w:rFonts w:hint="eastAsia" w:ascii="宋体" w:hAnsi="宋体"/>
          <w:kern w:val="0"/>
          <w:szCs w:val="20"/>
        </w:rPr>
        <w:t>300</w:t>
      </w:r>
      <w:r>
        <w:rPr>
          <w:rFonts w:ascii="宋体" w:hAnsi="宋体"/>
          <w:kern w:val="0"/>
          <w:szCs w:val="20"/>
        </w:rPr>
        <w:t xml:space="preserve"> </w:t>
      </w:r>
      <w:r>
        <w:rPr>
          <w:rFonts w:ascii="Times New Roman" w:hAnsi="Times New Roman"/>
          <w:kern w:val="0"/>
          <w:szCs w:val="20"/>
        </w:rPr>
        <w:t>rpm</w:t>
      </w:r>
      <w:r>
        <w:rPr>
          <w:rFonts w:hint="eastAsia" w:ascii="宋体" w:hAnsi="宋体"/>
          <w:kern w:val="0"/>
          <w:szCs w:val="20"/>
        </w:rPr>
        <w:t>，</w:t>
      </w:r>
      <w:r>
        <w:rPr>
          <w:rFonts w:ascii="宋体" w:hAnsi="宋体"/>
          <w:kern w:val="0"/>
          <w:szCs w:val="20"/>
        </w:rPr>
        <w:t>开始</w:t>
      </w:r>
      <w:r>
        <w:rPr>
          <w:rFonts w:hint="eastAsia" w:ascii="宋体" w:hAnsi="宋体"/>
          <w:kern w:val="0"/>
          <w:szCs w:val="20"/>
        </w:rPr>
        <w:t>搅拌。</w:t>
      </w:r>
    </w:p>
    <w:p w14:paraId="52BE2DD0">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—按桶混原则</w:t>
      </w:r>
      <w:r>
        <w:rPr>
          <w:rFonts w:ascii="宋体" w:hAnsi="宋体"/>
          <w:kern w:val="0"/>
          <w:szCs w:val="20"/>
        </w:rPr>
        <w:t>顺序加入所有</w:t>
      </w:r>
      <w:r>
        <w:rPr>
          <w:rFonts w:hint="eastAsia" w:ascii="宋体" w:hAnsi="宋体"/>
          <w:kern w:val="0"/>
          <w:szCs w:val="20"/>
        </w:rPr>
        <w:t>产品（每</w:t>
      </w:r>
      <w:r>
        <w:rPr>
          <w:rFonts w:ascii="宋体" w:hAnsi="宋体"/>
          <w:kern w:val="0"/>
          <w:szCs w:val="20"/>
        </w:rPr>
        <w:t>两个产品间隔</w:t>
      </w:r>
      <w:r>
        <w:rPr>
          <w:rFonts w:hint="eastAsia" w:ascii="宋体" w:hAnsi="宋体"/>
          <w:kern w:val="0"/>
          <w:szCs w:val="20"/>
        </w:rPr>
        <w:t>1</w:t>
      </w:r>
      <w:r>
        <w:rPr>
          <w:rFonts w:ascii="宋体" w:hAnsi="宋体"/>
          <w:kern w:val="0"/>
          <w:szCs w:val="20"/>
        </w:rPr>
        <w:t xml:space="preserve"> </w:t>
      </w:r>
      <w:r>
        <w:rPr>
          <w:rFonts w:ascii="Times New Roman" w:hAnsi="Times New Roman"/>
          <w:kern w:val="0"/>
          <w:szCs w:val="20"/>
        </w:rPr>
        <w:t>min</w:t>
      </w:r>
      <w:r>
        <w:rPr>
          <w:rFonts w:ascii="宋体" w:hAnsi="宋体"/>
          <w:kern w:val="0"/>
          <w:szCs w:val="20"/>
        </w:rPr>
        <w:t>加入</w:t>
      </w:r>
      <w:r>
        <w:rPr>
          <w:rFonts w:hint="eastAsia" w:ascii="宋体" w:hAnsi="宋体"/>
          <w:kern w:val="0"/>
          <w:szCs w:val="20"/>
        </w:rPr>
        <w:t>）</w:t>
      </w:r>
      <w:r>
        <w:rPr>
          <w:rFonts w:ascii="宋体" w:hAnsi="宋体"/>
          <w:kern w:val="0"/>
          <w:szCs w:val="20"/>
        </w:rPr>
        <w:t>，</w:t>
      </w:r>
      <w:r>
        <w:rPr>
          <w:rFonts w:hint="eastAsia" w:ascii="宋体" w:hAnsi="宋体"/>
          <w:kern w:val="0"/>
          <w:szCs w:val="20"/>
        </w:rPr>
        <w:t>硬水</w:t>
      </w:r>
      <w:r>
        <w:rPr>
          <w:rFonts w:ascii="宋体" w:hAnsi="宋体"/>
          <w:kern w:val="0"/>
          <w:szCs w:val="20"/>
        </w:rPr>
        <w:t>D</w:t>
      </w:r>
      <w:r>
        <w:rPr>
          <w:rFonts w:hint="eastAsia" w:ascii="宋体" w:hAnsi="宋体"/>
          <w:kern w:val="0"/>
          <w:szCs w:val="20"/>
        </w:rPr>
        <w:t>稀释至2</w:t>
      </w:r>
      <w:r>
        <w:rPr>
          <w:rFonts w:ascii="宋体" w:hAnsi="宋体"/>
          <w:kern w:val="0"/>
          <w:szCs w:val="20"/>
        </w:rPr>
        <w:t xml:space="preserve"> </w:t>
      </w:r>
      <w:r>
        <w:rPr>
          <w:rFonts w:hint="eastAsia" w:ascii="Times New Roman" w:hAnsi="Times New Roman"/>
          <w:kern w:val="0"/>
          <w:szCs w:val="20"/>
        </w:rPr>
        <w:t>L</w:t>
      </w:r>
      <w:r>
        <w:rPr>
          <w:rFonts w:ascii="宋体" w:hAnsi="宋体"/>
          <w:kern w:val="0"/>
          <w:szCs w:val="20"/>
        </w:rPr>
        <w:t>，搅拌</w:t>
      </w:r>
      <w:r>
        <w:rPr>
          <w:rFonts w:hint="eastAsia" w:ascii="宋体" w:hAnsi="宋体"/>
          <w:kern w:val="0"/>
          <w:szCs w:val="20"/>
        </w:rPr>
        <w:t>15</w:t>
      </w:r>
      <w:r>
        <w:rPr>
          <w:rFonts w:ascii="宋体" w:hAnsi="宋体"/>
          <w:kern w:val="0"/>
          <w:szCs w:val="20"/>
        </w:rPr>
        <w:t xml:space="preserve"> </w:t>
      </w:r>
      <w:r>
        <w:rPr>
          <w:rFonts w:ascii="Times New Roman" w:hAnsi="Times New Roman"/>
          <w:kern w:val="0"/>
          <w:szCs w:val="20"/>
        </w:rPr>
        <w:t>min</w:t>
      </w:r>
      <w:r>
        <w:rPr>
          <w:rFonts w:ascii="宋体" w:hAnsi="宋体"/>
          <w:kern w:val="0"/>
          <w:szCs w:val="20"/>
        </w:rPr>
        <w:t>，同时观察</w:t>
      </w:r>
      <w:r>
        <w:rPr>
          <w:rFonts w:hint="eastAsia" w:ascii="宋体" w:hAnsi="宋体"/>
          <w:kern w:val="0"/>
          <w:szCs w:val="20"/>
        </w:rPr>
        <w:t>桶混液</w:t>
      </w:r>
      <w:r>
        <w:rPr>
          <w:rFonts w:ascii="宋体" w:hAnsi="宋体"/>
          <w:kern w:val="0"/>
          <w:szCs w:val="20"/>
        </w:rPr>
        <w:t>絮凝和分离</w:t>
      </w:r>
      <w:r>
        <w:rPr>
          <w:rFonts w:hint="eastAsia" w:ascii="宋体" w:hAnsi="宋体"/>
          <w:kern w:val="0"/>
          <w:szCs w:val="20"/>
        </w:rPr>
        <w:t>情况。</w:t>
      </w:r>
    </w:p>
    <w:p w14:paraId="64F059E7">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—制备每个单产品</w:t>
      </w:r>
      <w:r>
        <w:rPr>
          <w:rFonts w:ascii="宋体" w:hAnsi="宋体"/>
          <w:kern w:val="0"/>
          <w:szCs w:val="20"/>
        </w:rPr>
        <w:t>动态测试结果为对照</w:t>
      </w:r>
      <w:r>
        <w:rPr>
          <w:rFonts w:hint="eastAsia" w:ascii="宋体" w:hAnsi="宋体"/>
          <w:kern w:val="0"/>
          <w:szCs w:val="20"/>
        </w:rPr>
        <w:t>品</w:t>
      </w:r>
      <w:r>
        <w:rPr>
          <w:rFonts w:ascii="宋体" w:hAnsi="宋体"/>
          <w:kern w:val="0"/>
          <w:szCs w:val="20"/>
        </w:rPr>
        <w:t>；操作步骤</w:t>
      </w:r>
      <w:r>
        <w:rPr>
          <w:rFonts w:hint="eastAsia" w:ascii="宋体" w:hAnsi="宋体"/>
          <w:kern w:val="0"/>
          <w:szCs w:val="20"/>
        </w:rPr>
        <w:t>与1、2、桶混液一致；</w:t>
      </w:r>
    </w:p>
    <w:p w14:paraId="73B5EED9">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—停止搅拌</w:t>
      </w:r>
      <w:r>
        <w:rPr>
          <w:rFonts w:ascii="宋体" w:hAnsi="宋体"/>
          <w:kern w:val="0"/>
          <w:szCs w:val="20"/>
        </w:rPr>
        <w:t>，过</w:t>
      </w:r>
      <w:r>
        <w:rPr>
          <w:rFonts w:hint="eastAsia" w:ascii="宋体" w:hAnsi="宋体"/>
          <w:kern w:val="0"/>
          <w:szCs w:val="20"/>
        </w:rPr>
        <w:t>100目</w:t>
      </w:r>
      <w:r>
        <w:rPr>
          <w:rFonts w:ascii="宋体" w:hAnsi="宋体"/>
          <w:kern w:val="0"/>
          <w:szCs w:val="20"/>
        </w:rPr>
        <w:t>筛，</w:t>
      </w:r>
      <w:r>
        <w:rPr>
          <w:rFonts w:hint="eastAsia" w:ascii="宋体" w:hAnsi="宋体"/>
          <w:kern w:val="0"/>
          <w:szCs w:val="20"/>
        </w:rPr>
        <w:t>检测筛上</w:t>
      </w:r>
      <w:r>
        <w:rPr>
          <w:rFonts w:ascii="宋体" w:hAnsi="宋体"/>
          <w:kern w:val="0"/>
          <w:szCs w:val="20"/>
        </w:rPr>
        <w:t>残余物</w:t>
      </w:r>
      <w:r>
        <w:rPr>
          <w:rFonts w:hint="eastAsia" w:ascii="宋体" w:hAnsi="宋体"/>
          <w:kern w:val="0"/>
          <w:szCs w:val="20"/>
        </w:rPr>
        <w:t>质量。</w:t>
      </w:r>
    </w:p>
    <w:p w14:paraId="2598E54F">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如过滤桶混液在100目筛上质量小于或等于单产品筛上质量的总和，则</w:t>
      </w:r>
      <w:r>
        <w:rPr>
          <w:rFonts w:ascii="宋体" w:hAnsi="宋体"/>
          <w:kern w:val="0"/>
          <w:szCs w:val="20"/>
        </w:rPr>
        <w:t>判定</w:t>
      </w:r>
      <w:r>
        <w:rPr>
          <w:rFonts w:hint="eastAsia" w:ascii="宋体" w:hAnsi="宋体"/>
          <w:kern w:val="0"/>
          <w:szCs w:val="20"/>
        </w:rPr>
        <w:t>合格，</w:t>
      </w:r>
      <w:r>
        <w:rPr>
          <w:rFonts w:ascii="宋体" w:hAnsi="宋体"/>
          <w:kern w:val="0"/>
          <w:szCs w:val="20"/>
        </w:rPr>
        <w:t>多</w:t>
      </w:r>
      <w:r>
        <w:rPr>
          <w:rFonts w:hint="eastAsia" w:ascii="宋体" w:hAnsi="宋体"/>
          <w:kern w:val="0"/>
          <w:szCs w:val="20"/>
        </w:rPr>
        <w:t>于则</w:t>
      </w:r>
      <w:r>
        <w:rPr>
          <w:rFonts w:ascii="宋体" w:hAnsi="宋体"/>
          <w:kern w:val="0"/>
          <w:szCs w:val="20"/>
        </w:rPr>
        <w:t>判定不合格</w:t>
      </w:r>
      <w:r>
        <w:rPr>
          <w:rFonts w:hint="eastAsia" w:ascii="宋体" w:hAnsi="宋体"/>
          <w:kern w:val="0"/>
          <w:szCs w:val="20"/>
        </w:rPr>
        <w:t>。</w:t>
      </w:r>
    </w:p>
    <w:p w14:paraId="75A1BF85">
      <w:pPr>
        <w:pStyle w:val="107"/>
        <w:spacing w:before="240" w:after="240"/>
        <w:ind w:left="0"/>
      </w:pPr>
      <w:r>
        <w:rPr>
          <w:rFonts w:hint="eastAsia"/>
        </w:rPr>
        <w:t>注意事项</w:t>
      </w:r>
    </w:p>
    <w:p w14:paraId="593D3784">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r>
        <w:rPr>
          <w:rFonts w:hint="eastAsia" w:ascii="宋体" w:hAnsi="宋体"/>
          <w:kern w:val="0"/>
          <w:szCs w:val="20"/>
        </w:rPr>
        <w:t>使用无人飞机植保施药喷雾时，尽量避免在高温条件下、开花和幼果期使用。若无法避免，应在进行作物安全性测试后，确保对作物花、果安全性后再喷施。应特别注意在高温、高湿等极端条件、与渗透性强的药剂混合使用时的安全性。</w:t>
      </w:r>
    </w:p>
    <w:p w14:paraId="1633D1A9">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p>
    <w:p w14:paraId="30687853">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p>
    <w:p w14:paraId="5DE529CF">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p>
    <w:p w14:paraId="7C5BC486">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p>
    <w:p w14:paraId="00E5C117">
      <w:pPr>
        <w:widowControl/>
        <w:tabs>
          <w:tab w:val="center" w:pos="4201"/>
          <w:tab w:val="right" w:leader="dot" w:pos="9298"/>
        </w:tabs>
        <w:autoSpaceDE w:val="0"/>
        <w:autoSpaceDN w:val="0"/>
        <w:snapToGrid w:val="0"/>
        <w:spacing w:line="240" w:lineRule="auto"/>
        <w:ind w:left="283" w:leftChars="135" w:firstLine="420" w:firstLineChars="200"/>
        <w:rPr>
          <w:rFonts w:hint="eastAsia" w:ascii="宋体" w:hAnsi="宋体"/>
          <w:kern w:val="0"/>
          <w:szCs w:val="20"/>
        </w:rPr>
      </w:pPr>
    </w:p>
    <w:p w14:paraId="1B5F7096">
      <w:pPr>
        <w:pStyle w:val="177"/>
        <w:numPr>
          <w:ilvl w:val="0"/>
          <w:numId w:val="0"/>
        </w:numPr>
      </w:pPr>
    </w:p>
    <w:p w14:paraId="376EDCD8">
      <w:pPr>
        <w:pStyle w:val="177"/>
        <w:numPr>
          <w:ilvl w:val="0"/>
          <w:numId w:val="0"/>
        </w:numPr>
        <w:sectPr>
          <w:headerReference r:id="rId15" w:type="default"/>
          <w:footerReference r:id="rId17" w:type="default"/>
          <w:headerReference r:id="rId16" w:type="even"/>
          <w:footerReference r:id="rId18" w:type="even"/>
          <w:pgSz w:w="11906" w:h="16838"/>
          <w:pgMar w:top="1928" w:right="1418" w:bottom="1134" w:left="1418" w:header="1418" w:footer="1134" w:gutter="284"/>
          <w:pgNumType w:start="1"/>
          <w:cols w:space="425" w:num="1"/>
          <w:formProt w:val="0"/>
          <w:docGrid w:linePitch="312" w:charSpace="0"/>
        </w:sectPr>
      </w:pPr>
    </w:p>
    <w:bookmarkEnd w:id="1"/>
    <w:p w14:paraId="331B26B5">
      <w:pPr>
        <w:pStyle w:val="201"/>
        <w:rPr>
          <w:rFonts w:hint="eastAsia"/>
        </w:rPr>
      </w:pPr>
      <w:bookmarkStart w:id="26" w:name="BookMark5"/>
    </w:p>
    <w:p w14:paraId="33A8B83C">
      <w:pPr>
        <w:pStyle w:val="202"/>
        <w:rPr>
          <w:rFonts w:hint="eastAsia"/>
        </w:rPr>
      </w:pPr>
    </w:p>
    <w:p w14:paraId="6AB09E66">
      <w:pPr>
        <w:pStyle w:val="79"/>
        <w:spacing w:after="120"/>
      </w:pPr>
      <w:r>
        <w:br w:type="textWrapping"/>
      </w:r>
      <w:r>
        <w:rPr>
          <w:rFonts w:hint="eastAsia"/>
        </w:rPr>
        <w:t>（资料性）</w:t>
      </w:r>
      <w:r>
        <w:br w:type="textWrapping"/>
      </w:r>
      <w:bookmarkStart w:id="27" w:name="OLE_LINK11"/>
      <w:r>
        <w:rPr>
          <w:rFonts w:hint="eastAsia"/>
        </w:rPr>
        <w:t>不同接触角与润湿渗透力相关性</w:t>
      </w:r>
      <w:bookmarkEnd w:id="27"/>
    </w:p>
    <w:bookmarkEnd w:id="3"/>
    <w:p w14:paraId="3293A801">
      <w:pPr>
        <w:pStyle w:val="81"/>
        <w:ind w:firstLine="0" w:firstLineChars="0"/>
      </w:pPr>
      <w:r>
        <w:rPr>
          <w:rFonts w:hint="eastAsia"/>
        </w:rPr>
        <w:t>不同接触角与润湿渗透力相关性如表A所示。</w:t>
      </w:r>
    </w:p>
    <w:p w14:paraId="65A0F325">
      <w:pPr>
        <w:pStyle w:val="81"/>
        <w:jc w:val="center"/>
      </w:pPr>
      <w:r>
        <w:rPr>
          <w:rFonts w:hint="eastAsia"/>
        </w:rPr>
        <w:t>表A 不同接触角与润湿渗透力相关性</w:t>
      </w:r>
    </w:p>
    <w:tbl>
      <w:tblPr>
        <w:tblStyle w:val="29"/>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407"/>
        <w:gridCol w:w="4399"/>
      </w:tblGrid>
      <w:tr w14:paraId="2C683A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tcPr>
          <w:p w14:paraId="06C6C2F7">
            <w:pPr>
              <w:pStyle w:val="181"/>
              <w:rPr>
                <w:rFonts w:hint="eastAsia"/>
              </w:rPr>
            </w:pPr>
            <w:r>
              <w:rPr>
                <w:rFonts w:hint="eastAsia"/>
              </w:rPr>
              <w:t>接触角度数</w:t>
            </w:r>
          </w:p>
        </w:tc>
        <w:tc>
          <w:tcPr>
            <w:tcW w:w="4667" w:type="dxa"/>
            <w:tcBorders>
              <w:top w:val="single" w:color="auto" w:sz="8" w:space="0"/>
              <w:bottom w:val="single" w:color="auto" w:sz="8" w:space="0"/>
            </w:tcBorders>
          </w:tcPr>
          <w:p w14:paraId="12323D59">
            <w:pPr>
              <w:pStyle w:val="181"/>
              <w:rPr>
                <w:rFonts w:hint="eastAsia"/>
              </w:rPr>
            </w:pPr>
            <w:r>
              <w:rPr>
                <w:rFonts w:hint="eastAsia"/>
              </w:rPr>
              <w:t>作物表面润湿渗透程度</w:t>
            </w:r>
          </w:p>
        </w:tc>
      </w:tr>
      <w:tr w14:paraId="180317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tcPr>
          <w:p w14:paraId="35AB52C7">
            <w:pPr>
              <w:pStyle w:val="181"/>
              <w:rPr>
                <w:rFonts w:hint="eastAsia"/>
              </w:rPr>
            </w:pPr>
            <w:r>
              <w:t xml:space="preserve">Θ  </w:t>
            </w:r>
            <w:r>
              <w:rPr>
                <w:rFonts w:hint="eastAsia"/>
              </w:rPr>
              <w:t xml:space="preserve">= </w:t>
            </w:r>
            <w:r>
              <w:t xml:space="preserve"> 0</w:t>
            </w:r>
            <w:r>
              <w:rPr>
                <w:rFonts w:hint="eastAsia"/>
                <w:vertAlign w:val="superscript"/>
              </w:rPr>
              <w:t>o</w:t>
            </w:r>
          </w:p>
        </w:tc>
        <w:tc>
          <w:tcPr>
            <w:tcW w:w="4667" w:type="dxa"/>
            <w:tcBorders>
              <w:top w:val="single" w:color="auto" w:sz="8" w:space="0"/>
            </w:tcBorders>
          </w:tcPr>
          <w:p w14:paraId="08935A7D">
            <w:pPr>
              <w:pStyle w:val="181"/>
              <w:rPr>
                <w:rFonts w:hint="eastAsia"/>
              </w:rPr>
            </w:pPr>
            <w:r>
              <w:rPr>
                <w:rFonts w:hint="eastAsia"/>
              </w:rPr>
              <w:t>雾滴完全润湿作物</w:t>
            </w:r>
          </w:p>
        </w:tc>
      </w:tr>
      <w:tr w14:paraId="6CA8FF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49B2C5EA">
            <w:pPr>
              <w:pStyle w:val="181"/>
              <w:rPr>
                <w:rFonts w:hint="eastAsia"/>
              </w:rPr>
            </w:pPr>
            <w:r>
              <w:t xml:space="preserve">Θ </w:t>
            </w:r>
            <w:r>
              <w:rPr>
                <w:rFonts w:hint="eastAsia"/>
              </w:rPr>
              <w:t>＜</w:t>
            </w:r>
            <w:r>
              <w:t xml:space="preserve">  90</w:t>
            </w:r>
            <w:r>
              <w:rPr>
                <w:rFonts w:hint="eastAsia"/>
                <w:vertAlign w:val="superscript"/>
              </w:rPr>
              <w:t>o</w:t>
            </w:r>
          </w:p>
        </w:tc>
        <w:tc>
          <w:tcPr>
            <w:tcW w:w="4667" w:type="dxa"/>
          </w:tcPr>
          <w:p w14:paraId="6A5F7F71">
            <w:pPr>
              <w:pStyle w:val="181"/>
              <w:rPr>
                <w:rFonts w:hint="eastAsia"/>
              </w:rPr>
            </w:pPr>
            <w:r>
              <w:rPr>
                <w:rFonts w:hint="eastAsia"/>
              </w:rPr>
              <w:t>部分润湿或润湿</w:t>
            </w:r>
          </w:p>
        </w:tc>
      </w:tr>
      <w:tr w14:paraId="60E7FB7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2A56DA02">
            <w:pPr>
              <w:pStyle w:val="181"/>
              <w:rPr>
                <w:rFonts w:hint="eastAsia"/>
              </w:rPr>
            </w:pPr>
            <w:r>
              <w:t xml:space="preserve">Θ  </w:t>
            </w:r>
            <w:r>
              <w:rPr>
                <w:rFonts w:hint="eastAsia"/>
              </w:rPr>
              <w:t>=</w:t>
            </w:r>
            <w:r>
              <w:t xml:space="preserve">  90</w:t>
            </w:r>
            <w:r>
              <w:rPr>
                <w:rFonts w:hint="eastAsia"/>
                <w:vertAlign w:val="superscript"/>
              </w:rPr>
              <w:t>o</w:t>
            </w:r>
          </w:p>
        </w:tc>
        <w:tc>
          <w:tcPr>
            <w:tcW w:w="4667" w:type="dxa"/>
          </w:tcPr>
          <w:p w14:paraId="60F638A5">
            <w:pPr>
              <w:pStyle w:val="181"/>
              <w:rPr>
                <w:rFonts w:hint="eastAsia"/>
              </w:rPr>
            </w:pPr>
            <w:r>
              <w:rPr>
                <w:rFonts w:hint="eastAsia"/>
              </w:rPr>
              <w:t>是润湿与否的分界线</w:t>
            </w:r>
          </w:p>
        </w:tc>
      </w:tr>
      <w:tr w14:paraId="520E90E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3EA5EE4D">
            <w:pPr>
              <w:pStyle w:val="181"/>
              <w:rPr>
                <w:rFonts w:hint="eastAsia"/>
              </w:rPr>
            </w:pPr>
            <w:r>
              <w:t xml:space="preserve">Θ  </w:t>
            </w:r>
            <w:r>
              <w:rPr>
                <w:rFonts w:hint="eastAsia"/>
              </w:rPr>
              <w:t>≥</w:t>
            </w:r>
            <w:r>
              <w:t xml:space="preserve"> 90</w:t>
            </w:r>
            <w:r>
              <w:rPr>
                <w:rFonts w:hint="eastAsia"/>
                <w:vertAlign w:val="superscript"/>
              </w:rPr>
              <w:t>o</w:t>
            </w:r>
          </w:p>
        </w:tc>
        <w:tc>
          <w:tcPr>
            <w:tcW w:w="4667" w:type="dxa"/>
          </w:tcPr>
          <w:p w14:paraId="7EB3C80D">
            <w:pPr>
              <w:pStyle w:val="181"/>
              <w:rPr>
                <w:rFonts w:hint="eastAsia"/>
              </w:rPr>
            </w:pPr>
            <w:r>
              <w:rPr>
                <w:rFonts w:hint="eastAsia"/>
              </w:rPr>
              <w:t>不润湿</w:t>
            </w:r>
          </w:p>
        </w:tc>
      </w:tr>
      <w:tr w14:paraId="5B2AD8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Pr>
          <w:p w14:paraId="13D9192D">
            <w:pPr>
              <w:pStyle w:val="181"/>
              <w:rPr>
                <w:rFonts w:hint="eastAsia"/>
              </w:rPr>
            </w:pPr>
            <w:r>
              <w:t xml:space="preserve">Θ  </w:t>
            </w:r>
            <w:r>
              <w:rPr>
                <w:rFonts w:hint="eastAsia"/>
              </w:rPr>
              <w:t>=</w:t>
            </w:r>
            <w:r>
              <w:t xml:space="preserve"> 180</w:t>
            </w:r>
            <w:r>
              <w:rPr>
                <w:rFonts w:hint="eastAsia"/>
                <w:vertAlign w:val="superscript"/>
              </w:rPr>
              <w:t>o</w:t>
            </w:r>
          </w:p>
        </w:tc>
        <w:tc>
          <w:tcPr>
            <w:tcW w:w="4667" w:type="dxa"/>
          </w:tcPr>
          <w:p w14:paraId="0AA79C7B">
            <w:pPr>
              <w:pStyle w:val="181"/>
              <w:rPr>
                <w:rFonts w:hint="eastAsia"/>
              </w:rPr>
            </w:pPr>
            <w:r>
              <w:rPr>
                <w:rFonts w:hint="eastAsia"/>
              </w:rPr>
              <w:t>完全不润湿</w:t>
            </w:r>
          </w:p>
        </w:tc>
      </w:tr>
      <w:bookmarkEnd w:id="26"/>
    </w:tbl>
    <w:p w14:paraId="65E0F33B">
      <w:pPr>
        <w:pStyle w:val="59"/>
        <w:ind w:firstLine="0" w:firstLineChars="0"/>
        <w:jc w:val="center"/>
        <w:rPr>
          <w:rFonts w:hint="eastAsia"/>
        </w:rPr>
      </w:pPr>
      <w:bookmarkStart w:id="28" w:name="BookMark8"/>
      <w:r>
        <w:rPr>
          <w:rFonts w:hint="eastAsia"/>
        </w:rPr>
        <w:drawing>
          <wp:inline distT="0" distB="0" distL="0" distR="0">
            <wp:extent cx="1485900" cy="317500"/>
            <wp:effectExtent l="0" t="0" r="0" b="6350"/>
            <wp:docPr id="956792793" name="图片 5"/>
            <wp:cNvGraphicFramePr/>
            <a:graphic xmlns:a="http://schemas.openxmlformats.org/drawingml/2006/main">
              <a:graphicData uri="http://schemas.openxmlformats.org/drawingml/2006/picture">
                <pic:pic xmlns:pic="http://schemas.openxmlformats.org/drawingml/2006/picture">
                  <pic:nvPicPr>
                    <pic:cNvPr id="956792793" name="图片 5"/>
                    <pic:cNvPicPr/>
                  </pic:nvPicPr>
                  <pic:blipFill>
                    <a:blip r:embed="rId24">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8"/>
    </w:p>
    <w:sectPr>
      <w:headerReference r:id="rId19" w:type="default"/>
      <w:footerReference r:id="rId21" w:type="default"/>
      <w:headerReference r:id="rId20" w:type="even"/>
      <w:footerReference r:id="rId22" w:type="even"/>
      <w:pgSz w:w="11906" w:h="16838"/>
      <w:pgMar w:top="1134" w:right="1418" w:bottom="1928" w:left="1418" w:header="1418" w:footer="1928"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22E2AC">
    <w:pPr>
      <w:pStyle w:val="1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5D9378">
    <w:pPr>
      <w:pStyle w:val="18"/>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76C401">
    <w:pPr>
      <w:pStyle w:val="18"/>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5D2E28">
    <w:pPr>
      <w:pStyle w:val="55"/>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CCF1A5">
    <w:pPr>
      <w:pStyle w:val="54"/>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CBD6A4">
    <w:pPr>
      <w:pStyle w:val="55"/>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E57A1D">
    <w:pPr>
      <w:pStyle w:val="54"/>
    </w:pPr>
    <w:r>
      <w:fldChar w:fldCharType="begin"/>
    </w:r>
    <w:r>
      <w:instrText xml:space="preserve"> PAGE   \* MERGEFORMAT \* MERGEFORMAT </w:instrText>
    </w:r>
    <w:r>
      <w:fldChar w:fldCharType="separate"/>
    </w:r>
    <w: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3E7BC">
    <w:pPr>
      <w:pStyle w:val="55"/>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A08AB">
    <w:pPr>
      <w:pStyle w:val="54"/>
    </w:pPr>
    <w:r>
      <w:fldChar w:fldCharType="begin"/>
    </w:r>
    <w:r>
      <w:instrText xml:space="preserve"> PAGE   \* MERGEFORMAT \* MERGEFORMAT </w:instrText>
    </w:r>
    <w:r>
      <w:fldChar w:fldCharType="separate"/>
    </w:r>
    <w: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3AA564">
    <w:pPr>
      <w:pStyle w:val="19"/>
      <w:framePr/>
    </w:pPr>
    <w:r>
      <w:t>Q/LB.</w:t>
    </w:r>
    <w:r>
      <w:rPr>
        <w:rFonts w:hint="eastAsia"/>
      </w:rPr>
      <w:t>□</w:t>
    </w:r>
    <w: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C88F51">
    <w:pPr>
      <w:pStyle w:val="19"/>
      <w:frame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DAF8F">
    <w:pPr>
      <w:pStyle w:val="19"/>
      <w:frame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169B58">
    <w:pPr>
      <w:pStyle w:val="65"/>
      <w:framePr w:x="1753" w:y="1184"/>
      <w:rPr>
        <w:rFonts w:hint="eastAsia"/>
      </w:rPr>
    </w:pPr>
    <w:r>
      <w:rPr>
        <w:rFonts w:hint="eastAsia"/>
      </w:rPr>
      <w:t>T/CCPIA XXX</w:t>
    </w:r>
    <w:r>
      <w:t>—</w:t>
    </w:r>
    <w:r>
      <w:rPr>
        <w:rFonts w:hint="eastAsia"/>
      </w:rPr>
      <w:t>202X</w:t>
    </w:r>
  </w:p>
  <w:p w14:paraId="4BDDD2C4">
    <w:pPr>
      <w:pStyle w:val="19"/>
      <w:framePr w:x="1753" w:y="118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D29BB">
    <w:pPr>
      <w:pStyle w:val="65"/>
      <w:framePr/>
      <w:rPr>
        <w:rFonts w:hint="eastAsia"/>
      </w:rPr>
    </w:pPr>
    <w:r>
      <w:fldChar w:fldCharType="begin"/>
    </w:r>
    <w:r>
      <w:instrText xml:space="preserve"> STYLEREF  标准文件_文件编号 \* MERGEFORMAT </w:instrText>
    </w:r>
    <w:r>
      <w:fldChar w:fldCharType="separate"/>
    </w:r>
    <w:r>
      <w:t>T/CCPIA XXX—202X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9C915">
    <w:pPr>
      <w:pStyle w:val="64"/>
      <w:rPr>
        <w:rFonts w:hint="eastAsia"/>
      </w:rPr>
    </w:pPr>
    <w:bookmarkStart w:id="29" w:name="_Hlk170745288"/>
    <w:r>
      <w:t xml:space="preserve">T/CCPIA </w:t>
    </w:r>
    <w:r>
      <w:rPr>
        <w:rFonts w:hint="eastAsia"/>
      </w:rPr>
      <w:t>XXX</w:t>
    </w:r>
    <w:r>
      <w:t>-202</w:t>
    </w:r>
    <w:bookmarkEnd w:id="29"/>
    <w:r>
      <w:rPr>
        <w:rFonts w:hint="eastAsia"/>
      </w:rPr>
      <w:t>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A5757">
    <w:pPr>
      <w:pStyle w:val="65"/>
      <w:framePr w:x="1455" w:y="1279"/>
      <w:rPr>
        <w:rFonts w:hint="eastAsia"/>
      </w:rPr>
    </w:pPr>
    <w:r>
      <w:rPr>
        <w:rFonts w:hint="eastAsia"/>
      </w:rPr>
      <w:t>T/CCPIA XXX</w:t>
    </w:r>
    <w:r>
      <w:t>—</w:t>
    </w:r>
    <w:r>
      <w:rPr>
        <w:rFonts w:hint="eastAsia"/>
      </w:rPr>
      <w:t>202X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16C1B7">
    <w:pPr>
      <w:pStyle w:val="65"/>
      <w:framePr w:x="1712" w:y="585"/>
      <w:rPr>
        <w:rFonts w:hint="eastAsia"/>
      </w:rPr>
    </w:pPr>
    <w:r>
      <w:rPr>
        <w:rFonts w:hint="eastAsia"/>
      </w:rPr>
      <w:t>T/CCPIA XXX</w:t>
    </w:r>
    <w:r>
      <w:t>—</w:t>
    </w:r>
    <w:r>
      <w:rPr>
        <w:rFonts w:hint="eastAsia"/>
      </w:rPr>
      <w:t>202X</w:t>
    </w:r>
  </w:p>
  <w:p w14:paraId="0F848515">
    <w:pPr>
      <w:pStyle w:val="19"/>
      <w:framePr w:x="1712" w:y="58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EAB60">
    <w:pPr>
      <w:pStyle w:val="65"/>
      <w:framePr/>
      <w:rPr>
        <w:rFonts w:hint="eastAsia"/>
      </w:rPr>
    </w:pPr>
    <w:r>
      <w:t>T/CCPIA 255-2024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1702"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5103" w:firstLine="0"/>
      </w:pPr>
      <w:rPr>
        <w:rFonts w:hint="eastAsia"/>
        <w:spacing w:val="100"/>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142" w:firstLine="0"/>
      </w:pPr>
      <w:rPr>
        <w:rFonts w:hint="eastAsia" w:ascii="黑体" w:eastAsia="黑体"/>
        <w:b w:val="0"/>
        <w:i w:val="0"/>
        <w:color w:val="auto"/>
        <w:sz w:val="21"/>
      </w:rPr>
    </w:lvl>
    <w:lvl w:ilvl="2" w:tentative="0">
      <w:start w:val="1"/>
      <w:numFmt w:val="decimal"/>
      <w:pStyle w:val="108"/>
      <w:suff w:val="nothing"/>
      <w:lvlText w:val="%1%2.%3　"/>
      <w:lvlJc w:val="left"/>
      <w:pPr>
        <w:ind w:left="142"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142"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diODkyMDViNjQ2OTJhNTQ4NGQ3YzVlYzI0MjViOWUifQ=="/>
  </w:docVars>
  <w:rsids>
    <w:rsidRoot w:val="003B16D6"/>
    <w:rsid w:val="0000040A"/>
    <w:rsid w:val="00000A94"/>
    <w:rsid w:val="00001972"/>
    <w:rsid w:val="00001D9A"/>
    <w:rsid w:val="00007B3A"/>
    <w:rsid w:val="000107E0"/>
    <w:rsid w:val="00011FDE"/>
    <w:rsid w:val="00012FFD"/>
    <w:rsid w:val="00013D47"/>
    <w:rsid w:val="00014162"/>
    <w:rsid w:val="00014340"/>
    <w:rsid w:val="00016A9C"/>
    <w:rsid w:val="000203C1"/>
    <w:rsid w:val="00022184"/>
    <w:rsid w:val="00022762"/>
    <w:rsid w:val="000238E0"/>
    <w:rsid w:val="000243CA"/>
    <w:rsid w:val="000249DB"/>
    <w:rsid w:val="0002595E"/>
    <w:rsid w:val="000265E1"/>
    <w:rsid w:val="000303C3"/>
    <w:rsid w:val="000331D3"/>
    <w:rsid w:val="000346A5"/>
    <w:rsid w:val="000359C3"/>
    <w:rsid w:val="00035A7D"/>
    <w:rsid w:val="000365ED"/>
    <w:rsid w:val="00037E70"/>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5D9"/>
    <w:rsid w:val="00087A77"/>
    <w:rsid w:val="00090CA6"/>
    <w:rsid w:val="00092B8A"/>
    <w:rsid w:val="00092FB0"/>
    <w:rsid w:val="000934C5"/>
    <w:rsid w:val="00093D25"/>
    <w:rsid w:val="00093DAB"/>
    <w:rsid w:val="00094D73"/>
    <w:rsid w:val="00096D63"/>
    <w:rsid w:val="000A0B60"/>
    <w:rsid w:val="000A0EB8"/>
    <w:rsid w:val="000A19FC"/>
    <w:rsid w:val="000A21BF"/>
    <w:rsid w:val="000A296B"/>
    <w:rsid w:val="000A7311"/>
    <w:rsid w:val="000B060F"/>
    <w:rsid w:val="000B06F3"/>
    <w:rsid w:val="000B1592"/>
    <w:rsid w:val="000B1FF2"/>
    <w:rsid w:val="000B3CDA"/>
    <w:rsid w:val="000B6A0B"/>
    <w:rsid w:val="000C0F6C"/>
    <w:rsid w:val="000C11DB"/>
    <w:rsid w:val="000C1492"/>
    <w:rsid w:val="000C2FBD"/>
    <w:rsid w:val="000C3AD0"/>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0E76"/>
    <w:rsid w:val="00104926"/>
    <w:rsid w:val="00113B1E"/>
    <w:rsid w:val="0011711C"/>
    <w:rsid w:val="00124E4F"/>
    <w:rsid w:val="001260B7"/>
    <w:rsid w:val="001265CB"/>
    <w:rsid w:val="001321C6"/>
    <w:rsid w:val="001325C4"/>
    <w:rsid w:val="00133010"/>
    <w:rsid w:val="001338EE"/>
    <w:rsid w:val="00133AAE"/>
    <w:rsid w:val="00135323"/>
    <w:rsid w:val="001356C4"/>
    <w:rsid w:val="001357F9"/>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721"/>
    <w:rsid w:val="00173FB1"/>
    <w:rsid w:val="001761C1"/>
    <w:rsid w:val="00176DFD"/>
    <w:rsid w:val="001852C9"/>
    <w:rsid w:val="00187A0B"/>
    <w:rsid w:val="00190087"/>
    <w:rsid w:val="001913C4"/>
    <w:rsid w:val="0019348F"/>
    <w:rsid w:val="00193A07"/>
    <w:rsid w:val="00194C95"/>
    <w:rsid w:val="00195C34"/>
    <w:rsid w:val="00196EF5"/>
    <w:rsid w:val="001A065F"/>
    <w:rsid w:val="001A1A53"/>
    <w:rsid w:val="001A234A"/>
    <w:rsid w:val="001A4CF3"/>
    <w:rsid w:val="001A6696"/>
    <w:rsid w:val="001A6A5D"/>
    <w:rsid w:val="001B06E8"/>
    <w:rsid w:val="001B0AF4"/>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AFC"/>
    <w:rsid w:val="001D411C"/>
    <w:rsid w:val="001E1B6A"/>
    <w:rsid w:val="001E2484"/>
    <w:rsid w:val="001E3CC4"/>
    <w:rsid w:val="001E4882"/>
    <w:rsid w:val="001E61D9"/>
    <w:rsid w:val="001E73AB"/>
    <w:rsid w:val="001F092D"/>
    <w:rsid w:val="001F0DB1"/>
    <w:rsid w:val="001F143A"/>
    <w:rsid w:val="001F1605"/>
    <w:rsid w:val="001F2508"/>
    <w:rsid w:val="001F4816"/>
    <w:rsid w:val="001F69B4"/>
    <w:rsid w:val="001F6DDB"/>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2FD2"/>
    <w:rsid w:val="00233D64"/>
    <w:rsid w:val="0023482A"/>
    <w:rsid w:val="002359CB"/>
    <w:rsid w:val="00243540"/>
    <w:rsid w:val="0024497B"/>
    <w:rsid w:val="0024515B"/>
    <w:rsid w:val="00246021"/>
    <w:rsid w:val="0024666E"/>
    <w:rsid w:val="00247F52"/>
    <w:rsid w:val="00250AEF"/>
    <w:rsid w:val="00250B25"/>
    <w:rsid w:val="00250BBE"/>
    <w:rsid w:val="002515C2"/>
    <w:rsid w:val="0025194F"/>
    <w:rsid w:val="002545D0"/>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6E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B60"/>
    <w:rsid w:val="002C3F07"/>
    <w:rsid w:val="002C5278"/>
    <w:rsid w:val="002C7EBB"/>
    <w:rsid w:val="002D06C1"/>
    <w:rsid w:val="002D42B5"/>
    <w:rsid w:val="002D4F1A"/>
    <w:rsid w:val="002D6EC6"/>
    <w:rsid w:val="002D79AC"/>
    <w:rsid w:val="002E039D"/>
    <w:rsid w:val="002E2829"/>
    <w:rsid w:val="002E4107"/>
    <w:rsid w:val="002E4D5A"/>
    <w:rsid w:val="002E6326"/>
    <w:rsid w:val="002F0599"/>
    <w:rsid w:val="002F1105"/>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0D38"/>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36AF"/>
    <w:rsid w:val="00376713"/>
    <w:rsid w:val="003768A4"/>
    <w:rsid w:val="00381815"/>
    <w:rsid w:val="003819AF"/>
    <w:rsid w:val="00381FC2"/>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0F4B"/>
    <w:rsid w:val="003A11D1"/>
    <w:rsid w:val="003A1582"/>
    <w:rsid w:val="003A3D9C"/>
    <w:rsid w:val="003A4077"/>
    <w:rsid w:val="003A4AA7"/>
    <w:rsid w:val="003B09AD"/>
    <w:rsid w:val="003B16D6"/>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3F75D4"/>
    <w:rsid w:val="00400E72"/>
    <w:rsid w:val="00401400"/>
    <w:rsid w:val="00404869"/>
    <w:rsid w:val="00405884"/>
    <w:rsid w:val="00407D39"/>
    <w:rsid w:val="0041477A"/>
    <w:rsid w:val="004167A3"/>
    <w:rsid w:val="00421DAE"/>
    <w:rsid w:val="0042311D"/>
    <w:rsid w:val="004242E2"/>
    <w:rsid w:val="00432DAA"/>
    <w:rsid w:val="00433F36"/>
    <w:rsid w:val="00434305"/>
    <w:rsid w:val="00435DF7"/>
    <w:rsid w:val="0043741A"/>
    <w:rsid w:val="0044083F"/>
    <w:rsid w:val="00441AE7"/>
    <w:rsid w:val="00445574"/>
    <w:rsid w:val="004467FB"/>
    <w:rsid w:val="00452D6B"/>
    <w:rsid w:val="00454484"/>
    <w:rsid w:val="0045517B"/>
    <w:rsid w:val="00463B77"/>
    <w:rsid w:val="00463C7B"/>
    <w:rsid w:val="004644A6"/>
    <w:rsid w:val="00464515"/>
    <w:rsid w:val="004659BD"/>
    <w:rsid w:val="00470775"/>
    <w:rsid w:val="004746B1"/>
    <w:rsid w:val="0047583F"/>
    <w:rsid w:val="00475DE8"/>
    <w:rsid w:val="00481C44"/>
    <w:rsid w:val="00482957"/>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672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4F8"/>
    <w:rsid w:val="004E1C0A"/>
    <w:rsid w:val="004E26F5"/>
    <w:rsid w:val="004E30C5"/>
    <w:rsid w:val="004E4AA5"/>
    <w:rsid w:val="004E4AEE"/>
    <w:rsid w:val="004E59E3"/>
    <w:rsid w:val="004E67C0"/>
    <w:rsid w:val="004F0D19"/>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65723"/>
    <w:rsid w:val="00573D9E"/>
    <w:rsid w:val="005801E3"/>
    <w:rsid w:val="00581802"/>
    <w:rsid w:val="005836A8"/>
    <w:rsid w:val="0058409C"/>
    <w:rsid w:val="00584262"/>
    <w:rsid w:val="00586630"/>
    <w:rsid w:val="00587ADD"/>
    <w:rsid w:val="00593A49"/>
    <w:rsid w:val="00595168"/>
    <w:rsid w:val="00596160"/>
    <w:rsid w:val="005966E2"/>
    <w:rsid w:val="00597007"/>
    <w:rsid w:val="005A0966"/>
    <w:rsid w:val="005A11B7"/>
    <w:rsid w:val="005A260B"/>
    <w:rsid w:val="005A4A1B"/>
    <w:rsid w:val="005A7830"/>
    <w:rsid w:val="005A7FCE"/>
    <w:rsid w:val="005B0F3F"/>
    <w:rsid w:val="005B191C"/>
    <w:rsid w:val="005B2A5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0817"/>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17D25"/>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8CE"/>
    <w:rsid w:val="00652AB2"/>
    <w:rsid w:val="00653BE6"/>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243"/>
    <w:rsid w:val="006A25E5"/>
    <w:rsid w:val="006A2B46"/>
    <w:rsid w:val="006A3080"/>
    <w:rsid w:val="006A336D"/>
    <w:rsid w:val="006A37B9"/>
    <w:rsid w:val="006B2672"/>
    <w:rsid w:val="006B4C4E"/>
    <w:rsid w:val="006B54BF"/>
    <w:rsid w:val="006B5F44"/>
    <w:rsid w:val="006B5F90"/>
    <w:rsid w:val="006B6244"/>
    <w:rsid w:val="006B62E4"/>
    <w:rsid w:val="006C1BBA"/>
    <w:rsid w:val="006C2079"/>
    <w:rsid w:val="006C5A62"/>
    <w:rsid w:val="006C5D68"/>
    <w:rsid w:val="006C6976"/>
    <w:rsid w:val="006C6DD0"/>
    <w:rsid w:val="006D04EA"/>
    <w:rsid w:val="006D16C4"/>
    <w:rsid w:val="006D3E96"/>
    <w:rsid w:val="006D4515"/>
    <w:rsid w:val="006D46B3"/>
    <w:rsid w:val="006D4BB1"/>
    <w:rsid w:val="006D6593"/>
    <w:rsid w:val="006E239D"/>
    <w:rsid w:val="006E657E"/>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115"/>
    <w:rsid w:val="00773C1F"/>
    <w:rsid w:val="00774DA4"/>
    <w:rsid w:val="00776599"/>
    <w:rsid w:val="00776CAA"/>
    <w:rsid w:val="0078114B"/>
    <w:rsid w:val="00781DD2"/>
    <w:rsid w:val="00783ECF"/>
    <w:rsid w:val="0078413A"/>
    <w:rsid w:val="00791F75"/>
    <w:rsid w:val="007957F8"/>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5366"/>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3599"/>
    <w:rsid w:val="00804383"/>
    <w:rsid w:val="00804BB7"/>
    <w:rsid w:val="00804D41"/>
    <w:rsid w:val="00810257"/>
    <w:rsid w:val="008104F5"/>
    <w:rsid w:val="00811072"/>
    <w:rsid w:val="00811369"/>
    <w:rsid w:val="00813C39"/>
    <w:rsid w:val="0081483D"/>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3FF1"/>
    <w:rsid w:val="008454F8"/>
    <w:rsid w:val="0085173A"/>
    <w:rsid w:val="00856F6E"/>
    <w:rsid w:val="00857743"/>
    <w:rsid w:val="008603CE"/>
    <w:rsid w:val="008620FC"/>
    <w:rsid w:val="008627A5"/>
    <w:rsid w:val="008627B2"/>
    <w:rsid w:val="00863E05"/>
    <w:rsid w:val="00865591"/>
    <w:rsid w:val="00865ACA"/>
    <w:rsid w:val="00865D28"/>
    <w:rsid w:val="00865F85"/>
    <w:rsid w:val="00867C10"/>
    <w:rsid w:val="00867F30"/>
    <w:rsid w:val="00870439"/>
    <w:rsid w:val="00870DA1"/>
    <w:rsid w:val="00877CBC"/>
    <w:rsid w:val="00883F93"/>
    <w:rsid w:val="00884DB3"/>
    <w:rsid w:val="00885A9D"/>
    <w:rsid w:val="008864F6"/>
    <w:rsid w:val="0089049D"/>
    <w:rsid w:val="008928C9"/>
    <w:rsid w:val="008930CB"/>
    <w:rsid w:val="00893706"/>
    <w:rsid w:val="008938DC"/>
    <w:rsid w:val="00893FD1"/>
    <w:rsid w:val="00894836"/>
    <w:rsid w:val="00895172"/>
    <w:rsid w:val="00895680"/>
    <w:rsid w:val="00896489"/>
    <w:rsid w:val="00896DFF"/>
    <w:rsid w:val="0089762C"/>
    <w:rsid w:val="00897B92"/>
    <w:rsid w:val="008A173B"/>
    <w:rsid w:val="008A1893"/>
    <w:rsid w:val="008A57E6"/>
    <w:rsid w:val="008A6C72"/>
    <w:rsid w:val="008A6F81"/>
    <w:rsid w:val="008A769A"/>
    <w:rsid w:val="008B0C9C"/>
    <w:rsid w:val="008B166D"/>
    <w:rsid w:val="008B17F4"/>
    <w:rsid w:val="008B3615"/>
    <w:rsid w:val="008B4AC4"/>
    <w:rsid w:val="008B50C8"/>
    <w:rsid w:val="008B5281"/>
    <w:rsid w:val="008B68A3"/>
    <w:rsid w:val="008B7E05"/>
    <w:rsid w:val="008C1797"/>
    <w:rsid w:val="008C219C"/>
    <w:rsid w:val="008C475E"/>
    <w:rsid w:val="008C619A"/>
    <w:rsid w:val="008D057B"/>
    <w:rsid w:val="008D068E"/>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E7CE5"/>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240F"/>
    <w:rsid w:val="009378DD"/>
    <w:rsid w:val="009429D5"/>
    <w:rsid w:val="00942BF1"/>
    <w:rsid w:val="00945180"/>
    <w:rsid w:val="00945428"/>
    <w:rsid w:val="0094607B"/>
    <w:rsid w:val="00953604"/>
    <w:rsid w:val="00953CEA"/>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C06"/>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E6CC9"/>
    <w:rsid w:val="009F03B3"/>
    <w:rsid w:val="009F2413"/>
    <w:rsid w:val="009F4EDB"/>
    <w:rsid w:val="00A0096C"/>
    <w:rsid w:val="00A01757"/>
    <w:rsid w:val="00A0175A"/>
    <w:rsid w:val="00A028C0"/>
    <w:rsid w:val="00A02BAE"/>
    <w:rsid w:val="00A06A6B"/>
    <w:rsid w:val="00A07E47"/>
    <w:rsid w:val="00A129D0"/>
    <w:rsid w:val="00A12C33"/>
    <w:rsid w:val="00A138BA"/>
    <w:rsid w:val="00A14C8E"/>
    <w:rsid w:val="00A153D9"/>
    <w:rsid w:val="00A15F09"/>
    <w:rsid w:val="00A169B6"/>
    <w:rsid w:val="00A17DF9"/>
    <w:rsid w:val="00A21774"/>
    <w:rsid w:val="00A2271D"/>
    <w:rsid w:val="00A237D5"/>
    <w:rsid w:val="00A30EFC"/>
    <w:rsid w:val="00A31984"/>
    <w:rsid w:val="00A32D73"/>
    <w:rsid w:val="00A3367B"/>
    <w:rsid w:val="00A33C67"/>
    <w:rsid w:val="00A3581F"/>
    <w:rsid w:val="00A3597D"/>
    <w:rsid w:val="00A36DD1"/>
    <w:rsid w:val="00A4006C"/>
    <w:rsid w:val="00A40091"/>
    <w:rsid w:val="00A4030F"/>
    <w:rsid w:val="00A40E43"/>
    <w:rsid w:val="00A41C79"/>
    <w:rsid w:val="00A41CB5"/>
    <w:rsid w:val="00A42CDF"/>
    <w:rsid w:val="00A4452E"/>
    <w:rsid w:val="00A4472C"/>
    <w:rsid w:val="00A44E69"/>
    <w:rsid w:val="00A4661E"/>
    <w:rsid w:val="00A53EA7"/>
    <w:rsid w:val="00A55BD6"/>
    <w:rsid w:val="00A55D50"/>
    <w:rsid w:val="00A57142"/>
    <w:rsid w:val="00A61E63"/>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0BB"/>
    <w:rsid w:val="00AA1E45"/>
    <w:rsid w:val="00AA2EF2"/>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341A"/>
    <w:rsid w:val="00AD4126"/>
    <w:rsid w:val="00AD421C"/>
    <w:rsid w:val="00AD44FA"/>
    <w:rsid w:val="00AE070A"/>
    <w:rsid w:val="00AE101C"/>
    <w:rsid w:val="00AE2A69"/>
    <w:rsid w:val="00AE37E5"/>
    <w:rsid w:val="00AE5EB4"/>
    <w:rsid w:val="00AF0C18"/>
    <w:rsid w:val="00AF1669"/>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5BF"/>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5E6C"/>
    <w:rsid w:val="00B77EC8"/>
    <w:rsid w:val="00B827A6"/>
    <w:rsid w:val="00B831CE"/>
    <w:rsid w:val="00B86232"/>
    <w:rsid w:val="00B86677"/>
    <w:rsid w:val="00B87131"/>
    <w:rsid w:val="00B939B1"/>
    <w:rsid w:val="00B96D40"/>
    <w:rsid w:val="00B97386"/>
    <w:rsid w:val="00BA263B"/>
    <w:rsid w:val="00BA42B2"/>
    <w:rsid w:val="00BA58D4"/>
    <w:rsid w:val="00BA5B9E"/>
    <w:rsid w:val="00BA7C9A"/>
    <w:rsid w:val="00BB5F8F"/>
    <w:rsid w:val="00BB657A"/>
    <w:rsid w:val="00BC1A4E"/>
    <w:rsid w:val="00BC2DE2"/>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36363"/>
    <w:rsid w:val="00C42130"/>
    <w:rsid w:val="00C423A4"/>
    <w:rsid w:val="00C423E3"/>
    <w:rsid w:val="00C43C92"/>
    <w:rsid w:val="00C44BF5"/>
    <w:rsid w:val="00C507C6"/>
    <w:rsid w:val="00C521D6"/>
    <w:rsid w:val="00C55232"/>
    <w:rsid w:val="00C553A4"/>
    <w:rsid w:val="00C55A06"/>
    <w:rsid w:val="00C55D03"/>
    <w:rsid w:val="00C601BC"/>
    <w:rsid w:val="00C6329F"/>
    <w:rsid w:val="00C63340"/>
    <w:rsid w:val="00C63AFE"/>
    <w:rsid w:val="00C643F9"/>
    <w:rsid w:val="00C64E95"/>
    <w:rsid w:val="00C7078B"/>
    <w:rsid w:val="00C71372"/>
    <w:rsid w:val="00C72410"/>
    <w:rsid w:val="00C7287F"/>
    <w:rsid w:val="00C7587B"/>
    <w:rsid w:val="00C80CB8"/>
    <w:rsid w:val="00C819F8"/>
    <w:rsid w:val="00C8248C"/>
    <w:rsid w:val="00C84E33"/>
    <w:rsid w:val="00C86D6F"/>
    <w:rsid w:val="00C905FC"/>
    <w:rsid w:val="00C92D03"/>
    <w:rsid w:val="00C9319C"/>
    <w:rsid w:val="00C9435D"/>
    <w:rsid w:val="00C94DF2"/>
    <w:rsid w:val="00C96741"/>
    <w:rsid w:val="00C975CE"/>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971"/>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466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C5BB9"/>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1C9B"/>
    <w:rsid w:val="00E02DFB"/>
    <w:rsid w:val="00E030F9"/>
    <w:rsid w:val="00E0311A"/>
    <w:rsid w:val="00E03138"/>
    <w:rsid w:val="00E06404"/>
    <w:rsid w:val="00E11A85"/>
    <w:rsid w:val="00E12495"/>
    <w:rsid w:val="00E15CCD"/>
    <w:rsid w:val="00E2009E"/>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5793"/>
    <w:rsid w:val="00E664CC"/>
    <w:rsid w:val="00E70388"/>
    <w:rsid w:val="00E70F92"/>
    <w:rsid w:val="00E74313"/>
    <w:rsid w:val="00E74C54"/>
    <w:rsid w:val="00E77557"/>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4FBC"/>
    <w:rsid w:val="00E95D13"/>
    <w:rsid w:val="00E95DD3"/>
    <w:rsid w:val="00E969D5"/>
    <w:rsid w:val="00EA58D1"/>
    <w:rsid w:val="00EA61BC"/>
    <w:rsid w:val="00EA681A"/>
    <w:rsid w:val="00EA735B"/>
    <w:rsid w:val="00EA7AB8"/>
    <w:rsid w:val="00EB0C56"/>
    <w:rsid w:val="00EB0DB6"/>
    <w:rsid w:val="00EB1E69"/>
    <w:rsid w:val="00EB2086"/>
    <w:rsid w:val="00EB31ED"/>
    <w:rsid w:val="00EB5EDF"/>
    <w:rsid w:val="00EB60FE"/>
    <w:rsid w:val="00EB74DB"/>
    <w:rsid w:val="00EC00C2"/>
    <w:rsid w:val="00EC5359"/>
    <w:rsid w:val="00EC562A"/>
    <w:rsid w:val="00ED067A"/>
    <w:rsid w:val="00ED2B50"/>
    <w:rsid w:val="00EE0350"/>
    <w:rsid w:val="00EE038C"/>
    <w:rsid w:val="00EE0719"/>
    <w:rsid w:val="00EE0E80"/>
    <w:rsid w:val="00EE613F"/>
    <w:rsid w:val="00EE7295"/>
    <w:rsid w:val="00EE7869"/>
    <w:rsid w:val="00EF054A"/>
    <w:rsid w:val="00EF3235"/>
    <w:rsid w:val="00EF3442"/>
    <w:rsid w:val="00EF3784"/>
    <w:rsid w:val="00EF7E72"/>
    <w:rsid w:val="00F06D37"/>
    <w:rsid w:val="00F07B9D"/>
    <w:rsid w:val="00F10551"/>
    <w:rsid w:val="00F11586"/>
    <w:rsid w:val="00F1183B"/>
    <w:rsid w:val="00F11C9F"/>
    <w:rsid w:val="00F12263"/>
    <w:rsid w:val="00F1409D"/>
    <w:rsid w:val="00F14214"/>
    <w:rsid w:val="00F14EF1"/>
    <w:rsid w:val="00F157A9"/>
    <w:rsid w:val="00F16F00"/>
    <w:rsid w:val="00F25BB6"/>
    <w:rsid w:val="00F26B51"/>
    <w:rsid w:val="00F26B7E"/>
    <w:rsid w:val="00F27A3B"/>
    <w:rsid w:val="00F32780"/>
    <w:rsid w:val="00F33817"/>
    <w:rsid w:val="00F34BA8"/>
    <w:rsid w:val="00F3612D"/>
    <w:rsid w:val="00F411FA"/>
    <w:rsid w:val="00F420D5"/>
    <w:rsid w:val="00F451EA"/>
    <w:rsid w:val="00F45447"/>
    <w:rsid w:val="00F456C6"/>
    <w:rsid w:val="00F4577B"/>
    <w:rsid w:val="00F46023"/>
    <w:rsid w:val="00F46496"/>
    <w:rsid w:val="00F474D0"/>
    <w:rsid w:val="00F50179"/>
    <w:rsid w:val="00F515EE"/>
    <w:rsid w:val="00F54D1D"/>
    <w:rsid w:val="00F56511"/>
    <w:rsid w:val="00F61184"/>
    <w:rsid w:val="00F6194E"/>
    <w:rsid w:val="00F623AC"/>
    <w:rsid w:val="00F6412A"/>
    <w:rsid w:val="00F65893"/>
    <w:rsid w:val="00F66A4A"/>
    <w:rsid w:val="00F71E22"/>
    <w:rsid w:val="00F72142"/>
    <w:rsid w:val="00F72AE7"/>
    <w:rsid w:val="00F750FF"/>
    <w:rsid w:val="00F833BA"/>
    <w:rsid w:val="00F84FD0"/>
    <w:rsid w:val="00F859A8"/>
    <w:rsid w:val="00F86D87"/>
    <w:rsid w:val="00F9108B"/>
    <w:rsid w:val="00F91349"/>
    <w:rsid w:val="00F929B5"/>
    <w:rsid w:val="00F93A8A"/>
    <w:rsid w:val="00F95248"/>
    <w:rsid w:val="00F956A9"/>
    <w:rsid w:val="00F963ED"/>
    <w:rsid w:val="00F966CF"/>
    <w:rsid w:val="00F96CAE"/>
    <w:rsid w:val="00F97C99"/>
    <w:rsid w:val="00FA62DB"/>
    <w:rsid w:val="00FA662D"/>
    <w:rsid w:val="00FA6A22"/>
    <w:rsid w:val="00FA73B1"/>
    <w:rsid w:val="00FB0CB9"/>
    <w:rsid w:val="00FB20FB"/>
    <w:rsid w:val="00FB231D"/>
    <w:rsid w:val="00FB45F1"/>
    <w:rsid w:val="00FB4A72"/>
    <w:rsid w:val="00FB54E8"/>
    <w:rsid w:val="00FB7054"/>
    <w:rsid w:val="00FC17B7"/>
    <w:rsid w:val="00FC2CB7"/>
    <w:rsid w:val="00FC4090"/>
    <w:rsid w:val="00FC55B4"/>
    <w:rsid w:val="00FD00E6"/>
    <w:rsid w:val="00FD09A1"/>
    <w:rsid w:val="00FD2A7C"/>
    <w:rsid w:val="00FD59EB"/>
    <w:rsid w:val="00FD5B8E"/>
    <w:rsid w:val="00FD7299"/>
    <w:rsid w:val="00FE1FBE"/>
    <w:rsid w:val="00FE3901"/>
    <w:rsid w:val="00FE39D3"/>
    <w:rsid w:val="00FE39E9"/>
    <w:rsid w:val="00FE4BCE"/>
    <w:rsid w:val="00FE54AE"/>
    <w:rsid w:val="00FE576A"/>
    <w:rsid w:val="00FE7E79"/>
    <w:rsid w:val="00FF1AF5"/>
    <w:rsid w:val="00FF3E7D"/>
    <w:rsid w:val="00FF5B99"/>
    <w:rsid w:val="00FF730C"/>
    <w:rsid w:val="00FF73F4"/>
    <w:rsid w:val="00FF7CE4"/>
    <w:rsid w:val="00FF7E39"/>
    <w:rsid w:val="04AB5476"/>
    <w:rsid w:val="0B0C55A3"/>
    <w:rsid w:val="0B30303F"/>
    <w:rsid w:val="0E4B4645"/>
    <w:rsid w:val="0F6D5B33"/>
    <w:rsid w:val="119877C5"/>
    <w:rsid w:val="1324792E"/>
    <w:rsid w:val="18D47700"/>
    <w:rsid w:val="274041B2"/>
    <w:rsid w:val="2778388C"/>
    <w:rsid w:val="2CE37ABA"/>
    <w:rsid w:val="2E4A5917"/>
    <w:rsid w:val="30E65DCB"/>
    <w:rsid w:val="3BF5780A"/>
    <w:rsid w:val="520E4D2A"/>
    <w:rsid w:val="543F16E7"/>
    <w:rsid w:val="67221FE4"/>
    <w:rsid w:val="69707442"/>
    <w:rsid w:val="774D4C7F"/>
    <w:rsid w:val="7A706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autoRedefine/>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annotation text"/>
    <w:basedOn w:val="1"/>
    <w:link w:val="233"/>
    <w:unhideWhenUsed/>
    <w:qFormat/>
    <w:uiPriority w:val="99"/>
    <w:pPr>
      <w:jc w:val="left"/>
    </w:pPr>
  </w:style>
  <w:style w:type="paragraph" w:styleId="14">
    <w:name w:val="Body Text"/>
    <w:basedOn w:val="1"/>
    <w:link w:val="89"/>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8"/>
    <w:autoRedefine/>
    <w:semiHidden/>
    <w:unhideWhenUsed/>
    <w:qFormat/>
    <w:uiPriority w:val="99"/>
    <w:rPr>
      <w:sz w:val="18"/>
      <w:szCs w:val="18"/>
    </w:rPr>
  </w:style>
  <w:style w:type="paragraph" w:styleId="18">
    <w:name w:val="footer"/>
    <w:basedOn w:val="1"/>
    <w:link w:val="47"/>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6"/>
    <w:autoRedefine/>
    <w:qFormat/>
    <w:uiPriority w:val="99"/>
    <w:pPr>
      <w:framePr w:wrap="notBeside" w:vAnchor="page" w:hAnchor="page" w:x="1372" w:y="568"/>
      <w:adjustRightInd/>
      <w:snapToGrid w:val="0"/>
      <w:spacing w:line="240" w:lineRule="auto"/>
      <w:jc w:val="left"/>
    </w:pPr>
    <w:rPr>
      <w:rFonts w:ascii="Times New Roman" w:hAnsi="Times New Roman" w:eastAsia="黑体"/>
      <w:b/>
      <w:bCs/>
    </w:rPr>
  </w:style>
  <w:style w:type="paragraph" w:styleId="20">
    <w:name w:val="toc 1"/>
    <w:basedOn w:val="1"/>
    <w:next w:val="1"/>
    <w:autoRedefine/>
    <w:unhideWhenUsed/>
    <w:qFormat/>
    <w:uiPriority w:val="39"/>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2"/>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spacing w:line="240" w:lineRule="auto"/>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Title"/>
    <w:basedOn w:val="1"/>
    <w:link w:val="51"/>
    <w:autoRedefine/>
    <w:qFormat/>
    <w:uiPriority w:val="0"/>
    <w:pPr>
      <w:spacing w:before="240" w:after="60"/>
      <w:jc w:val="center"/>
      <w:outlineLvl w:val="0"/>
    </w:pPr>
    <w:rPr>
      <w:rFonts w:ascii="Arial" w:hAnsi="Arial" w:cs="Arial"/>
      <w:b/>
      <w:bCs/>
      <w:sz w:val="32"/>
      <w:szCs w:val="32"/>
    </w:rPr>
  </w:style>
  <w:style w:type="paragraph" w:styleId="27">
    <w:name w:val="annotation subject"/>
    <w:basedOn w:val="13"/>
    <w:next w:val="13"/>
    <w:link w:val="234"/>
    <w:unhideWhenUsed/>
    <w:qFormat/>
    <w:uiPriority w:val="99"/>
    <w:pPr>
      <w:adjustRightInd/>
      <w:spacing w:line="240" w:lineRule="auto"/>
      <w:jc w:val="both"/>
    </w:pPr>
    <w:rPr>
      <w:b/>
      <w:bCs/>
      <w:sz w:val="20"/>
      <w:szCs w:val="20"/>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autoRedefine/>
    <w:qFormat/>
    <w:uiPriority w:val="22"/>
    <w:rPr>
      <w:b/>
      <w:bCs/>
    </w:rPr>
  </w:style>
  <w:style w:type="character" w:styleId="32">
    <w:name w:val="page number"/>
    <w:autoRedefine/>
    <w:qFormat/>
    <w:uiPriority w:val="0"/>
    <w:rPr>
      <w:rFonts w:ascii="宋体" w:hAnsi="Times New Roman" w:eastAsia="宋体"/>
      <w:sz w:val="18"/>
    </w:rPr>
  </w:style>
  <w:style w:type="character" w:styleId="33">
    <w:name w:val="Emphasis"/>
    <w:autoRedefine/>
    <w:qFormat/>
    <w:uiPriority w:val="20"/>
    <w:rPr>
      <w:i/>
      <w:iCs/>
    </w:rPr>
  </w:style>
  <w:style w:type="character" w:styleId="34">
    <w:name w:val="Hyperlink"/>
    <w:autoRedefine/>
    <w:qFormat/>
    <w:uiPriority w:val="99"/>
    <w:rPr>
      <w:rFonts w:ascii="宋体" w:hAnsi="Times New Roman" w:eastAsia="宋体"/>
      <w:color w:val="auto"/>
      <w:spacing w:val="0"/>
      <w:w w:val="100"/>
      <w:position w:val="0"/>
      <w:sz w:val="21"/>
      <w:u w:val="none"/>
      <w:vertAlign w:val="baseline"/>
    </w:rPr>
  </w:style>
  <w:style w:type="character" w:styleId="35">
    <w:name w:val="annotation reference"/>
    <w:basedOn w:val="30"/>
    <w:semiHidden/>
    <w:unhideWhenUsed/>
    <w:qFormat/>
    <w:uiPriority w:val="99"/>
    <w:rPr>
      <w:sz w:val="21"/>
      <w:szCs w:val="21"/>
    </w:rPr>
  </w:style>
  <w:style w:type="character" w:styleId="36">
    <w:name w:val="footnote reference"/>
    <w:autoRedefine/>
    <w:semiHidden/>
    <w:qFormat/>
    <w:uiPriority w:val="0"/>
    <w:rPr>
      <w:rFonts w:ascii="宋体" w:hAnsi="宋体" w:eastAsia="宋体" w:cs="Times New Roman"/>
      <w:spacing w:val="0"/>
      <w:sz w:val="18"/>
      <w:vertAlign w:val="superscript"/>
    </w:rPr>
  </w:style>
  <w:style w:type="character" w:customStyle="1" w:styleId="37">
    <w:name w:val="标题 1 字符"/>
    <w:link w:val="2"/>
    <w:autoRedefine/>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autoRedefine/>
    <w:qFormat/>
    <w:uiPriority w:val="0"/>
    <w:rPr>
      <w:rFonts w:ascii="Arial" w:hAnsi="Arial" w:eastAsia="黑体"/>
      <w:b/>
      <w:bCs/>
      <w:kern w:val="2"/>
      <w:sz w:val="28"/>
      <w:szCs w:val="28"/>
    </w:rPr>
  </w:style>
  <w:style w:type="character" w:customStyle="1" w:styleId="41">
    <w:name w:val="标题 5 字符"/>
    <w:link w:val="6"/>
    <w:autoRedefine/>
    <w:qFormat/>
    <w:uiPriority w:val="0"/>
    <w:rPr>
      <w:b/>
      <w:bCs/>
      <w:kern w:val="2"/>
      <w:sz w:val="28"/>
      <w:szCs w:val="28"/>
    </w:rPr>
  </w:style>
  <w:style w:type="character" w:customStyle="1" w:styleId="42">
    <w:name w:val="标题 6 字符"/>
    <w:link w:val="7"/>
    <w:autoRedefine/>
    <w:qFormat/>
    <w:uiPriority w:val="0"/>
    <w:rPr>
      <w:rFonts w:ascii="Arial" w:hAnsi="Arial" w:eastAsia="黑体"/>
      <w:b/>
      <w:bCs/>
      <w:kern w:val="2"/>
      <w:sz w:val="24"/>
      <w:szCs w:val="24"/>
    </w:rPr>
  </w:style>
  <w:style w:type="character" w:customStyle="1" w:styleId="43">
    <w:name w:val="标题 7 字符"/>
    <w:link w:val="8"/>
    <w:autoRedefine/>
    <w:qFormat/>
    <w:uiPriority w:val="0"/>
    <w:rPr>
      <w:b/>
      <w:bCs/>
      <w:kern w:val="2"/>
      <w:sz w:val="24"/>
      <w:szCs w:val="24"/>
    </w:rPr>
  </w:style>
  <w:style w:type="character" w:customStyle="1" w:styleId="44">
    <w:name w:val="标题 8 字符"/>
    <w:link w:val="9"/>
    <w:autoRedefine/>
    <w:qFormat/>
    <w:uiPriority w:val="0"/>
    <w:rPr>
      <w:rFonts w:ascii="Arial" w:hAnsi="Arial" w:eastAsia="黑体"/>
      <w:kern w:val="2"/>
      <w:sz w:val="24"/>
      <w:szCs w:val="24"/>
    </w:rPr>
  </w:style>
  <w:style w:type="character" w:customStyle="1" w:styleId="45">
    <w:name w:val="标题 9 字符"/>
    <w:link w:val="10"/>
    <w:autoRedefine/>
    <w:qFormat/>
    <w:uiPriority w:val="0"/>
    <w:rPr>
      <w:rFonts w:ascii="Arial" w:hAnsi="Arial" w:eastAsia="黑体"/>
      <w:kern w:val="2"/>
      <w:sz w:val="21"/>
      <w:szCs w:val="21"/>
    </w:rPr>
  </w:style>
  <w:style w:type="character" w:customStyle="1" w:styleId="46">
    <w:name w:val="页眉 字符"/>
    <w:link w:val="19"/>
    <w:autoRedefine/>
    <w:qFormat/>
    <w:uiPriority w:val="99"/>
    <w:rPr>
      <w:rFonts w:ascii="Times New Roman" w:hAnsi="Times New Roman" w:eastAsia="黑体"/>
      <w:b/>
      <w:bCs/>
      <w:kern w:val="2"/>
      <w:sz w:val="21"/>
      <w:szCs w:val="21"/>
    </w:rPr>
  </w:style>
  <w:style w:type="character" w:customStyle="1" w:styleId="47">
    <w:name w:val="页脚 字符"/>
    <w:link w:val="18"/>
    <w:autoRedefine/>
    <w:qFormat/>
    <w:uiPriority w:val="99"/>
    <w:rPr>
      <w:rFonts w:ascii="宋体"/>
      <w:kern w:val="2"/>
      <w:sz w:val="18"/>
      <w:szCs w:val="18"/>
    </w:rPr>
  </w:style>
  <w:style w:type="character" w:customStyle="1" w:styleId="48">
    <w:name w:val="批注框文本 字符"/>
    <w:link w:val="17"/>
    <w:autoRedefine/>
    <w:semiHidden/>
    <w:qFormat/>
    <w:uiPriority w:val="99"/>
    <w:rPr>
      <w:kern w:val="2"/>
      <w:sz w:val="18"/>
      <w:szCs w:val="18"/>
    </w:rPr>
  </w:style>
  <w:style w:type="paragraph" w:styleId="49">
    <w:name w:val="Quote"/>
    <w:basedOn w:val="1"/>
    <w:next w:val="1"/>
    <w:link w:val="50"/>
    <w:autoRedefine/>
    <w:qFormat/>
    <w:uiPriority w:val="29"/>
    <w:rPr>
      <w:i/>
      <w:iCs/>
      <w:color w:val="000000"/>
    </w:rPr>
  </w:style>
  <w:style w:type="character" w:customStyle="1" w:styleId="50">
    <w:name w:val="引用 字符"/>
    <w:link w:val="49"/>
    <w:autoRedefine/>
    <w:qFormat/>
    <w:uiPriority w:val="29"/>
    <w:rPr>
      <w:i/>
      <w:iCs/>
      <w:color w:val="000000"/>
      <w:kern w:val="2"/>
      <w:sz w:val="21"/>
      <w:szCs w:val="21"/>
    </w:rPr>
  </w:style>
  <w:style w:type="character" w:customStyle="1" w:styleId="51">
    <w:name w:val="标题 字符"/>
    <w:link w:val="26"/>
    <w:autoRedefine/>
    <w:qFormat/>
    <w:uiPriority w:val="0"/>
    <w:rPr>
      <w:rFonts w:ascii="Arial" w:hAnsi="Arial" w:cs="Arial"/>
      <w:b/>
      <w:bCs/>
      <w:kern w:val="2"/>
      <w:sz w:val="32"/>
      <w:szCs w:val="32"/>
    </w:rPr>
  </w:style>
  <w:style w:type="paragraph" w:customStyle="1" w:styleId="52">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autoRedefine/>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autoRedefine/>
    <w:qFormat/>
    <w:uiPriority w:val="0"/>
    <w:pPr>
      <w:spacing w:line="0" w:lineRule="atLeast"/>
    </w:pPr>
    <w:rPr>
      <w:rFonts w:ascii="黑体" w:hAnsi="宋体" w:eastAsia="黑体"/>
    </w:rPr>
  </w:style>
  <w:style w:type="paragraph" w:customStyle="1" w:styleId="58">
    <w:name w:val="标准文件_标准正文"/>
    <w:basedOn w:val="1"/>
    <w:next w:val="59"/>
    <w:autoRedefine/>
    <w:qFormat/>
    <w:uiPriority w:val="0"/>
    <w:pPr>
      <w:snapToGrid w:val="0"/>
      <w:ind w:firstLine="200" w:firstLineChars="200"/>
    </w:pPr>
    <w:rPr>
      <w:kern w:val="0"/>
    </w:rPr>
  </w:style>
  <w:style w:type="paragraph" w:customStyle="1" w:styleId="59">
    <w:name w:val="标准文件_段"/>
    <w:link w:val="187"/>
    <w:autoRedefine/>
    <w:qFormat/>
    <w:uiPriority w:val="0"/>
    <w:pPr>
      <w:autoSpaceDE w:val="0"/>
      <w:autoSpaceDN w:val="0"/>
      <w:ind w:firstLine="420" w:firstLineChars="200"/>
      <w:jc w:val="both"/>
    </w:pPr>
    <w:rPr>
      <w:rFonts w:ascii="宋体" w:hAnsi="宋体" w:eastAsia="宋体" w:cs="Times New Roman"/>
      <w:sz w:val="21"/>
      <w:lang w:val="en-US" w:eastAsia="zh-CN" w:bidi="ar-SA"/>
    </w:rPr>
  </w:style>
  <w:style w:type="paragraph" w:customStyle="1" w:styleId="60">
    <w:name w:val="标准文件_版本"/>
    <w:basedOn w:val="58"/>
    <w:autoRedefine/>
    <w:qFormat/>
    <w:uiPriority w:val="0"/>
    <w:pPr>
      <w:adjustRightInd/>
      <w:snapToGrid/>
      <w:ind w:firstLine="0" w:firstLineChars="0"/>
    </w:pPr>
    <w:rPr>
      <w:rFonts w:ascii="宋体" w:hAnsi="宋体"/>
      <w:kern w:val="2"/>
    </w:rPr>
  </w:style>
  <w:style w:type="paragraph" w:customStyle="1" w:styleId="61">
    <w:name w:val="标准文件_标准部门"/>
    <w:basedOn w:val="1"/>
    <w:autoRedefine/>
    <w:qFormat/>
    <w:uiPriority w:val="0"/>
    <w:pPr>
      <w:jc w:val="center"/>
    </w:pPr>
    <w:rPr>
      <w:rFonts w:ascii="黑体" w:eastAsia="黑体"/>
      <w:kern w:val="0"/>
      <w:sz w:val="44"/>
    </w:rPr>
  </w:style>
  <w:style w:type="paragraph" w:customStyle="1" w:styleId="62">
    <w:name w:val="标准文件_标准代替"/>
    <w:basedOn w:val="1"/>
    <w:next w:val="1"/>
    <w:autoRedefine/>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autoRedefine/>
    <w:qFormat/>
    <w:uiPriority w:val="0"/>
    <w:pPr>
      <w:framePr w:wrap="notBeside" w:vAnchor="page" w:hAnchor="page" w:x="1372" w:y="568"/>
    </w:pPr>
  </w:style>
  <w:style w:type="paragraph" w:customStyle="1" w:styleId="66">
    <w:name w:val="标准文件_参考文献标题"/>
    <w:basedOn w:val="1"/>
    <w:next w:val="1"/>
    <w:autoRedefine/>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autoRedefine/>
    <w:qFormat/>
    <w:uiPriority w:val="0"/>
    <w:pPr>
      <w:widowControl w:val="0"/>
      <w:numPr>
        <w:ilvl w:val="3"/>
        <w:numId w:val="2"/>
      </w:numPr>
      <w:spacing w:before="120" w:beforeLines="50" w:after="120" w:afterLines="50"/>
      <w:ind w:left="0"/>
      <w:jc w:val="both"/>
      <w:outlineLvl w:val="2"/>
    </w:pPr>
    <w:rPr>
      <w:rFonts w:ascii="黑体" w:hAnsi="Times New Roman" w:eastAsia="黑体" w:cs="Times New Roman"/>
      <w:sz w:val="21"/>
      <w:lang w:val="en-US" w:eastAsia="zh-CN" w:bidi="ar-SA"/>
    </w:rPr>
  </w:style>
  <w:style w:type="character" w:customStyle="1" w:styleId="69">
    <w:name w:val="标准文件_发布"/>
    <w:autoRedefine/>
    <w:qFormat/>
    <w:uiPriority w:val="0"/>
    <w:rPr>
      <w:rFonts w:ascii="黑体" w:eastAsia="黑体"/>
      <w:spacing w:val="0"/>
      <w:w w:val="100"/>
      <w:position w:val="3"/>
      <w:sz w:val="28"/>
    </w:rPr>
  </w:style>
  <w:style w:type="paragraph" w:customStyle="1" w:styleId="70">
    <w:name w:val="标准文件_方框数字列项"/>
    <w:basedOn w:val="59"/>
    <w:autoRedefine/>
    <w:qFormat/>
    <w:uiPriority w:val="0"/>
    <w:pPr>
      <w:numPr>
        <w:ilvl w:val="0"/>
        <w:numId w:val="3"/>
      </w:numPr>
      <w:ind w:firstLine="0" w:firstLineChars="0"/>
    </w:pPr>
  </w:style>
  <w:style w:type="paragraph" w:customStyle="1" w:styleId="71">
    <w:name w:val="标准文件_封面标准编号"/>
    <w:basedOn w:val="1"/>
    <w:next w:val="62"/>
    <w:autoRedefine/>
    <w:qFormat/>
    <w:uiPriority w:val="0"/>
    <w:pPr>
      <w:spacing w:line="310" w:lineRule="exact"/>
      <w:jc w:val="right"/>
    </w:pPr>
    <w:rPr>
      <w:rFonts w:ascii="黑体" w:eastAsia="黑体"/>
      <w:kern w:val="0"/>
      <w:sz w:val="28"/>
    </w:rPr>
  </w:style>
  <w:style w:type="paragraph" w:customStyle="1" w:styleId="72">
    <w:name w:val="标准文件_封面标准分类号"/>
    <w:basedOn w:val="1"/>
    <w:autoRedefine/>
    <w:qFormat/>
    <w:uiPriority w:val="0"/>
    <w:rPr>
      <w:rFonts w:ascii="黑体" w:eastAsia="黑体"/>
      <w:b/>
      <w:kern w:val="0"/>
      <w:sz w:val="28"/>
    </w:rPr>
  </w:style>
  <w:style w:type="paragraph" w:customStyle="1" w:styleId="73">
    <w:name w:val="标准文件_封面标准名称"/>
    <w:basedOn w:val="1"/>
    <w:autoRedefine/>
    <w:qFormat/>
    <w:uiPriority w:val="0"/>
    <w:pPr>
      <w:spacing w:line="240" w:lineRule="auto"/>
      <w:jc w:val="center"/>
    </w:pPr>
    <w:rPr>
      <w:rFonts w:ascii="黑体" w:eastAsia="黑体"/>
      <w:kern w:val="0"/>
      <w:sz w:val="52"/>
    </w:rPr>
  </w:style>
  <w:style w:type="paragraph" w:customStyle="1" w:styleId="74">
    <w:name w:val="标准文件_封面标准英文名称"/>
    <w:basedOn w:val="1"/>
    <w:autoRedefine/>
    <w:qFormat/>
    <w:uiPriority w:val="0"/>
    <w:pPr>
      <w:spacing w:line="240" w:lineRule="auto"/>
      <w:jc w:val="center"/>
    </w:pPr>
    <w:rPr>
      <w:rFonts w:ascii="黑体" w:eastAsia="黑体"/>
      <w:b/>
      <w:sz w:val="28"/>
    </w:rPr>
  </w:style>
  <w:style w:type="paragraph" w:customStyle="1" w:styleId="75">
    <w:name w:val="标准文件_封面发布日期"/>
    <w:basedOn w:val="1"/>
    <w:autoRedefine/>
    <w:qFormat/>
    <w:uiPriority w:val="0"/>
    <w:pPr>
      <w:spacing w:line="310" w:lineRule="exact"/>
    </w:pPr>
    <w:rPr>
      <w:rFonts w:ascii="黑体" w:eastAsia="黑体"/>
      <w:kern w:val="0"/>
      <w:sz w:val="28"/>
    </w:rPr>
  </w:style>
  <w:style w:type="paragraph" w:customStyle="1" w:styleId="76">
    <w:name w:val="标准文件_封面密级"/>
    <w:basedOn w:val="1"/>
    <w:autoRedefine/>
    <w:qFormat/>
    <w:uiPriority w:val="0"/>
    <w:rPr>
      <w:rFonts w:eastAsia="黑体"/>
      <w:sz w:val="32"/>
    </w:rPr>
  </w:style>
  <w:style w:type="paragraph" w:customStyle="1" w:styleId="77">
    <w:name w:val="标准文件_封面实施日期"/>
    <w:basedOn w:val="1"/>
    <w:autoRedefine/>
    <w:qFormat/>
    <w:uiPriority w:val="0"/>
    <w:pPr>
      <w:spacing w:line="310" w:lineRule="exact"/>
      <w:jc w:val="right"/>
    </w:pPr>
    <w:rPr>
      <w:rFonts w:ascii="黑体" w:eastAsia="黑体"/>
      <w:sz w:val="28"/>
    </w:rPr>
  </w:style>
  <w:style w:type="paragraph" w:customStyle="1" w:styleId="78">
    <w:name w:val="标准文件_封面抬头"/>
    <w:basedOn w:val="59"/>
    <w:autoRedefine/>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autoRedefine/>
    <w:qFormat/>
    <w:uiPriority w:val="0"/>
    <w:pPr>
      <w:numPr>
        <w:ilvl w:val="0"/>
        <w:numId w:val="4"/>
      </w:numPr>
      <w:shd w:val="clear" w:color="FFFFFF" w:fill="FFFFFF"/>
      <w:tabs>
        <w:tab w:val="left" w:pos="6406"/>
      </w:tabs>
      <w:spacing w:before="560" w:after="50" w:afterLines="50"/>
      <w:ind w:left="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autoRedefine/>
    <w:qFormat/>
    <w:uiPriority w:val="0"/>
    <w:pPr>
      <w:numPr>
        <w:ilvl w:val="1"/>
        <w:numId w:val="5"/>
      </w:numPr>
      <w:adjustRightInd w:val="0"/>
      <w:snapToGrid w:val="0"/>
      <w:spacing w:before="120" w:beforeLines="50" w:after="120" w:afterLines="50"/>
      <w:jc w:val="both"/>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autoRedefine/>
    <w:qFormat/>
    <w:uiPriority w:val="0"/>
    <w:pPr>
      <w:widowControl w:val="0"/>
      <w:spacing w:before="120" w:beforeLines="50" w:after="120" w:afterLines="50"/>
      <w:ind w:firstLine="840" w:firstLineChars="40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autoRedefine/>
    <w:qFormat/>
    <w:uiPriority w:val="0"/>
    <w:pPr>
      <w:widowControl/>
      <w:wordWrap w:val="0"/>
      <w:overflowPunct w:val="0"/>
      <w:autoSpaceDE w:val="0"/>
      <w:autoSpaceDN w:val="0"/>
      <w:textAlignment w:val="baseline"/>
      <w:outlineLvl w:val="3"/>
    </w:pPr>
  </w:style>
  <w:style w:type="paragraph" w:customStyle="1" w:styleId="83">
    <w:name w:val="标准文件_附录公式"/>
    <w:basedOn w:val="58"/>
    <w:next w:val="58"/>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4"/>
    <w:autoRedefine/>
    <w:qFormat/>
    <w:uiPriority w:val="0"/>
    <w:rPr>
      <w:kern w:val="2"/>
      <w:sz w:val="21"/>
      <w:szCs w:val="21"/>
    </w:rPr>
  </w:style>
  <w:style w:type="paragraph" w:customStyle="1" w:styleId="90">
    <w:name w:val="标准文件_附录章标题"/>
    <w:next w:val="59"/>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autoRedefine/>
    <w:qFormat/>
    <w:uiPriority w:val="0"/>
    <w:pPr>
      <w:ind w:left="488" w:leftChars="200" w:hanging="289" w:hangingChars="290"/>
    </w:pPr>
  </w:style>
  <w:style w:type="paragraph" w:customStyle="1" w:styleId="92">
    <w:name w:val="标准文件_前言、引言标题"/>
    <w:next w:val="1"/>
    <w:autoRedefine/>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autoRedefine/>
    <w:qFormat/>
    <w:uiPriority w:val="0"/>
    <w:pPr>
      <w:spacing w:line="460" w:lineRule="exact"/>
      <w:ind w:left="0" w:firstLine="0"/>
    </w:pPr>
  </w:style>
  <w:style w:type="paragraph" w:customStyle="1" w:styleId="94">
    <w:name w:val="标准文件_目录标题"/>
    <w:basedOn w:val="1"/>
    <w:autoRedefine/>
    <w:qFormat/>
    <w:uiPriority w:val="0"/>
    <w:pPr>
      <w:spacing w:before="480" w:after="150" w:afterLines="150" w:line="240" w:lineRule="auto"/>
      <w:jc w:val="center"/>
    </w:pPr>
    <w:rPr>
      <w:rFonts w:ascii="黑体" w:eastAsia="黑体"/>
      <w:sz w:val="32"/>
    </w:rPr>
  </w:style>
  <w:style w:type="paragraph" w:customStyle="1" w:styleId="95">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autoRedefine/>
    <w:qFormat/>
    <w:uiPriority w:val="0"/>
    <w:pPr>
      <w:numPr>
        <w:numId w:val="10"/>
      </w:numPr>
    </w:pPr>
  </w:style>
  <w:style w:type="paragraph" w:customStyle="1" w:styleId="97">
    <w:name w:val="标准文件_三级条标题"/>
    <w:basedOn w:val="68"/>
    <w:next w:val="59"/>
    <w:autoRedefine/>
    <w:qFormat/>
    <w:uiPriority w:val="0"/>
    <w:pPr>
      <w:widowControl/>
      <w:numPr>
        <w:ilvl w:val="4"/>
      </w:numPr>
      <w:outlineLvl w:val="3"/>
    </w:pPr>
  </w:style>
  <w:style w:type="character" w:customStyle="1" w:styleId="98">
    <w:name w:val="不明显参考1"/>
    <w:autoRedefine/>
    <w:qFormat/>
    <w:uiPriority w:val="31"/>
    <w:rPr>
      <w:smallCaps/>
      <w:color w:val="C0504D"/>
      <w:u w:val="single"/>
    </w:rPr>
  </w:style>
  <w:style w:type="paragraph" w:customStyle="1" w:styleId="99">
    <w:name w:val="标准文件_示例后续"/>
    <w:basedOn w:val="1"/>
    <w:autoRedefine/>
    <w:qFormat/>
    <w:uiPriority w:val="0"/>
    <w:pPr>
      <w:adjustRightInd/>
      <w:spacing w:line="240" w:lineRule="auto"/>
      <w:ind w:firstLine="200" w:firstLineChars="200"/>
    </w:pPr>
    <w:rPr>
      <w:sz w:val="18"/>
      <w:szCs w:val="24"/>
    </w:rPr>
  </w:style>
  <w:style w:type="paragraph" w:customStyle="1" w:styleId="100">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2"/>
    <w:autoRedefine/>
    <w:semiHidden/>
    <w:qFormat/>
    <w:uiPriority w:val="0"/>
    <w:rPr>
      <w:rFonts w:ascii="宋体"/>
      <w:kern w:val="2"/>
      <w:sz w:val="18"/>
      <w:szCs w:val="18"/>
    </w:rPr>
  </w:style>
  <w:style w:type="paragraph" w:customStyle="1" w:styleId="103">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autoRedefine/>
    <w:qFormat/>
    <w:uiPriority w:val="0"/>
    <w:pPr>
      <w:numPr>
        <w:ilvl w:val="0"/>
        <w:numId w:val="12"/>
      </w:numPr>
      <w:spacing w:line="240" w:lineRule="auto"/>
      <w:jc w:val="left"/>
    </w:pPr>
    <w:rPr>
      <w:rFonts w:ascii="宋体" w:hAnsi="宋体"/>
      <w:sz w:val="18"/>
    </w:rPr>
  </w:style>
  <w:style w:type="character" w:customStyle="1" w:styleId="105">
    <w:name w:val="标准文件_图表脚注内容"/>
    <w:autoRedefine/>
    <w:qFormat/>
    <w:uiPriority w:val="0"/>
    <w:rPr>
      <w:rFonts w:ascii="宋体" w:hAnsi="宋体" w:eastAsia="宋体" w:cs="Times New Roman"/>
      <w:spacing w:val="0"/>
      <w:sz w:val="18"/>
      <w:vertAlign w:val="superscript"/>
    </w:rPr>
  </w:style>
  <w:style w:type="paragraph" w:customStyle="1" w:styleId="106">
    <w:name w:val="标准文件_五级条标题"/>
    <w:next w:val="59"/>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autoRedefine/>
    <w:qFormat/>
    <w:uiPriority w:val="0"/>
    <w:pPr>
      <w:numPr>
        <w:ilvl w:val="2"/>
      </w:numPr>
      <w:spacing w:before="120" w:beforeLines="50" w:after="120" w:afterLines="50"/>
      <w:outlineLvl w:val="1"/>
    </w:pPr>
  </w:style>
  <w:style w:type="paragraph" w:customStyle="1" w:styleId="109">
    <w:name w:val="标准文件_一致程度"/>
    <w:basedOn w:val="1"/>
    <w:autoRedefine/>
    <w:qFormat/>
    <w:uiPriority w:val="0"/>
    <w:pPr>
      <w:spacing w:line="440" w:lineRule="exact"/>
      <w:jc w:val="center"/>
    </w:pPr>
    <w:rPr>
      <w:sz w:val="28"/>
    </w:rPr>
  </w:style>
  <w:style w:type="paragraph" w:customStyle="1" w:styleId="110">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autoRedefine/>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autoRedefine/>
    <w:qFormat/>
    <w:uiPriority w:val="0"/>
    <w:pPr>
      <w:numPr>
        <w:ilvl w:val="0"/>
        <w:numId w:val="16"/>
      </w:num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autoRedefine/>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22">
    <w:name w:val="发布部门"/>
    <w:next w:val="59"/>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autoRedefine/>
    <w:qFormat/>
    <w:uiPriority w:val="0"/>
    <w:pPr>
      <w:framePr w:w="9639" w:h="6974" w:hRule="exact" w:wrap="around" w:vAnchor="page" w:hAnchor="page" w:x="1419" w:y="6408" w:anchorLock="1"/>
      <w:widowControl w:val="0"/>
      <w:spacing w:line="680" w:lineRule="exact"/>
      <w:jc w:val="center"/>
      <w:textAlignment w:val="bottom"/>
    </w:pPr>
    <w:rPr>
      <w:rFonts w:ascii="Times New Roman" w:hAnsi="Times New Roman" w:eastAsia="黑体" w:cs="Times New Roman"/>
      <w:sz w:val="52"/>
      <w:szCs w:val="52"/>
      <w:lang w:val="en-US" w:eastAsia="zh-CN" w:bidi="ar-SA"/>
    </w:rPr>
  </w:style>
  <w:style w:type="paragraph" w:customStyle="1" w:styleId="129">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autoRedefine/>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autoRedefine/>
    <w:qFormat/>
    <w:uiPriority w:val="0"/>
    <w:pPr>
      <w:outlineLvl w:val="4"/>
    </w:pPr>
  </w:style>
  <w:style w:type="paragraph" w:customStyle="1" w:styleId="133">
    <w:name w:val="附录四级无标题条"/>
    <w:basedOn w:val="132"/>
    <w:next w:val="59"/>
    <w:autoRedefine/>
    <w:qFormat/>
    <w:uiPriority w:val="0"/>
    <w:pPr>
      <w:outlineLvl w:val="5"/>
    </w:pPr>
  </w:style>
  <w:style w:type="paragraph" w:customStyle="1" w:styleId="134">
    <w:name w:val="附录图"/>
    <w:next w:val="59"/>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autoRedefine/>
    <w:qFormat/>
    <w:uiPriority w:val="0"/>
    <w:pPr>
      <w:outlineLvl w:val="6"/>
    </w:pPr>
  </w:style>
  <w:style w:type="paragraph" w:customStyle="1" w:styleId="137">
    <w:name w:val="附录性质"/>
    <w:basedOn w:val="1"/>
    <w:autoRedefine/>
    <w:qFormat/>
    <w:uiPriority w:val="0"/>
    <w:pPr>
      <w:widowControl/>
      <w:adjustRightInd/>
      <w:jc w:val="center"/>
    </w:pPr>
    <w:rPr>
      <w:rFonts w:ascii="黑体" w:eastAsia="黑体"/>
    </w:rPr>
  </w:style>
  <w:style w:type="paragraph" w:customStyle="1" w:styleId="138">
    <w:name w:val="附录一级无标题条"/>
    <w:basedOn w:val="90"/>
    <w:next w:val="59"/>
    <w:autoRedefine/>
    <w:qFormat/>
    <w:uiPriority w:val="0"/>
    <w:pPr>
      <w:autoSpaceDN w:val="0"/>
      <w:outlineLvl w:val="2"/>
    </w:pPr>
    <w:rPr>
      <w:rFonts w:ascii="宋体" w:hAnsi="宋体" w:eastAsia="宋体"/>
    </w:rPr>
  </w:style>
  <w:style w:type="character" w:customStyle="1" w:styleId="139">
    <w:name w:val="个人答复风格"/>
    <w:autoRedefine/>
    <w:qFormat/>
    <w:uiPriority w:val="0"/>
    <w:rPr>
      <w:rFonts w:ascii="Arial" w:hAnsi="Arial" w:eastAsia="宋体" w:cs="Arial"/>
      <w:color w:val="auto"/>
      <w:spacing w:val="0"/>
      <w:sz w:val="20"/>
    </w:rPr>
  </w:style>
  <w:style w:type="character" w:customStyle="1" w:styleId="140">
    <w:name w:val="个人撰写风格"/>
    <w:autoRedefine/>
    <w:qFormat/>
    <w:uiPriority w:val="0"/>
    <w:rPr>
      <w:rFonts w:ascii="Arial" w:hAnsi="Arial" w:eastAsia="宋体" w:cs="Arial"/>
      <w:color w:val="auto"/>
      <w:spacing w:val="0"/>
      <w:sz w:val="20"/>
    </w:rPr>
  </w:style>
  <w:style w:type="paragraph" w:customStyle="1" w:styleId="141">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autoRedefine/>
    <w:qFormat/>
    <w:uiPriority w:val="0"/>
    <w:pPr>
      <w:tabs>
        <w:tab w:val="left" w:pos="840"/>
      </w:tabs>
    </w:pPr>
  </w:style>
  <w:style w:type="paragraph" w:customStyle="1" w:styleId="144">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autoRedefine/>
    <w:semiHidden/>
    <w:qFormat/>
    <w:uiPriority w:val="0"/>
    <w:pPr>
      <w:adjustRightInd/>
      <w:spacing w:line="240" w:lineRule="auto"/>
      <w:jc w:val="left"/>
    </w:pPr>
    <w:rPr>
      <w:bCs/>
      <w:iCs/>
    </w:rPr>
  </w:style>
  <w:style w:type="paragraph" w:customStyle="1" w:styleId="146">
    <w:name w:val="目录 31"/>
    <w:basedOn w:val="1"/>
    <w:next w:val="1"/>
    <w:autoRedefine/>
    <w:semiHidden/>
    <w:qFormat/>
    <w:uiPriority w:val="0"/>
    <w:pPr>
      <w:spacing w:line="240" w:lineRule="auto"/>
    </w:pPr>
    <w:rPr>
      <w:rFonts w:ascii="宋体" w:hAnsi="宋体"/>
      <w:iCs/>
    </w:rPr>
  </w:style>
  <w:style w:type="paragraph" w:customStyle="1" w:styleId="147">
    <w:name w:val="目录 41"/>
    <w:basedOn w:val="1"/>
    <w:next w:val="1"/>
    <w:autoRedefine/>
    <w:semiHidden/>
    <w:qFormat/>
    <w:uiPriority w:val="0"/>
    <w:pPr>
      <w:adjustRightInd/>
      <w:spacing w:line="240" w:lineRule="auto"/>
      <w:jc w:val="left"/>
    </w:pPr>
  </w:style>
  <w:style w:type="paragraph" w:customStyle="1" w:styleId="148">
    <w:name w:val="目录 51"/>
    <w:basedOn w:val="1"/>
    <w:next w:val="1"/>
    <w:autoRedefine/>
    <w:semiHidden/>
    <w:qFormat/>
    <w:uiPriority w:val="0"/>
    <w:pPr>
      <w:spacing w:line="240" w:lineRule="auto"/>
    </w:pPr>
    <w:rPr>
      <w:rFonts w:ascii="宋体" w:hAnsi="宋体"/>
    </w:rPr>
  </w:style>
  <w:style w:type="paragraph" w:customStyle="1" w:styleId="149">
    <w:name w:val="目录 61"/>
    <w:basedOn w:val="1"/>
    <w:next w:val="1"/>
    <w:autoRedefine/>
    <w:semiHidden/>
    <w:qFormat/>
    <w:uiPriority w:val="0"/>
    <w:pPr>
      <w:adjustRightInd/>
      <w:spacing w:line="240" w:lineRule="auto"/>
      <w:jc w:val="left"/>
    </w:pPr>
  </w:style>
  <w:style w:type="paragraph" w:customStyle="1" w:styleId="150">
    <w:name w:val="目录 71"/>
    <w:basedOn w:val="149"/>
    <w:autoRedefine/>
    <w:semiHidden/>
    <w:qFormat/>
    <w:uiPriority w:val="0"/>
    <w:pPr>
      <w:ind w:left="1260"/>
    </w:pPr>
  </w:style>
  <w:style w:type="paragraph" w:customStyle="1" w:styleId="151">
    <w:name w:val="目录 81"/>
    <w:basedOn w:val="150"/>
    <w:autoRedefine/>
    <w:semiHidden/>
    <w:qFormat/>
    <w:uiPriority w:val="0"/>
    <w:pPr>
      <w:ind w:left="1470"/>
    </w:pPr>
  </w:style>
  <w:style w:type="paragraph" w:customStyle="1" w:styleId="152">
    <w:name w:val="目录 91"/>
    <w:basedOn w:val="151"/>
    <w:autoRedefine/>
    <w:semiHidden/>
    <w:qFormat/>
    <w:uiPriority w:val="0"/>
    <w:pPr>
      <w:ind w:left="1680"/>
    </w:pPr>
  </w:style>
  <w:style w:type="paragraph" w:customStyle="1" w:styleId="153">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autoRedefine/>
    <w:qFormat/>
    <w:uiPriority w:val="0"/>
    <w:pPr>
      <w:framePr w:wrap="around"/>
      <w:spacing w:line="0" w:lineRule="atLeast"/>
    </w:pPr>
    <w:rPr>
      <w:rFonts w:ascii="黑体" w:eastAsia="黑体"/>
      <w:b w:val="0"/>
    </w:rPr>
  </w:style>
  <w:style w:type="paragraph" w:customStyle="1" w:styleId="155">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7">
    <w:name w:val="实施日期"/>
    <w:basedOn w:val="123"/>
    <w:autoRedefine/>
    <w:qFormat/>
    <w:uiPriority w:val="0"/>
    <w:pPr>
      <w:framePr w:hSpace="0" w:wrap="around" w:xAlign="right"/>
      <w:jc w:val="right"/>
    </w:pPr>
  </w:style>
  <w:style w:type="paragraph" w:customStyle="1" w:styleId="158">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9">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autoRedefine/>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autoRedefine/>
    <w:qFormat/>
    <w:uiPriority w:val="0"/>
    <w:pPr>
      <w:numPr>
        <w:ilvl w:val="6"/>
        <w:numId w:val="20"/>
      </w:numPr>
      <w:adjustRightInd/>
    </w:pPr>
    <w:rPr>
      <w:szCs w:val="24"/>
    </w:rPr>
  </w:style>
  <w:style w:type="paragraph" w:customStyle="1" w:styleId="162">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3">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宋体"/>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wrap="around" w:vAnchor="page" w:hAnchor="page" w:x="1419" w:y="14097"/>
    </w:pPr>
  </w:style>
  <w:style w:type="paragraph" w:customStyle="1" w:styleId="197">
    <w:name w:val="其他实施日期"/>
    <w:basedOn w:val="157"/>
    <w:qFormat/>
    <w:uiPriority w:val="0"/>
    <w:pPr>
      <w:framePr w:w="3997" w:h="471" w:hRule="exact" w:vSpace="181" w:wrap="around" w:vAnchor="page" w:hAnchor="page" w:x="7089" w:y="14097"/>
    </w:pPr>
  </w:style>
  <w:style w:type="paragraph" w:customStyle="1" w:styleId="198">
    <w:name w:val="标准文件_文件编号"/>
    <w:basedOn w:val="59"/>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framePr/>
      <w:spacing w:before="57"/>
    </w:pPr>
    <w:rPr>
      <w:sz w:val="21"/>
    </w:rPr>
  </w:style>
  <w:style w:type="paragraph" w:customStyle="1" w:styleId="200">
    <w:name w:val="标准文件_文件名称"/>
    <w:basedOn w:val="59"/>
    <w:next w:val="59"/>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批注文字 字符"/>
    <w:basedOn w:val="30"/>
    <w:link w:val="13"/>
    <w:qFormat/>
    <w:uiPriority w:val="99"/>
    <w:rPr>
      <w:kern w:val="2"/>
      <w:sz w:val="21"/>
      <w:szCs w:val="21"/>
    </w:rPr>
  </w:style>
  <w:style w:type="character" w:customStyle="1" w:styleId="234">
    <w:name w:val="批注主题 字符"/>
    <w:basedOn w:val="233"/>
    <w:link w:val="27"/>
    <w:qFormat/>
    <w:uiPriority w:val="99"/>
    <w:rPr>
      <w:b/>
      <w:bCs/>
      <w:kern w:val="2"/>
      <w:sz w:val="21"/>
      <w:szCs w:val="21"/>
    </w:rPr>
  </w:style>
  <w:style w:type="paragraph" w:customStyle="1" w:styleId="235">
    <w:name w:val="段"/>
    <w:link w:val="236"/>
    <w:qFormat/>
    <w:uiPriority w:val="0"/>
    <w:pPr>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6">
    <w:name w:val="段 Char"/>
    <w:link w:val="235"/>
    <w:qFormat/>
    <w:uiPriority w:val="0"/>
    <w:rPr>
      <w:rFonts w:ascii="宋体" w:hAnsi="Times New Roman"/>
      <w:sz w:val="21"/>
    </w:rPr>
  </w:style>
  <w:style w:type="paragraph" w:styleId="237">
    <w:name w:val="List Paragraph"/>
    <w:basedOn w:val="1"/>
    <w:qFormat/>
    <w:uiPriority w:val="34"/>
    <w:pPr>
      <w:ind w:firstLine="420" w:firstLineChars="200"/>
    </w:pPr>
  </w:style>
  <w:style w:type="paragraph" w:customStyle="1" w:styleId="238">
    <w:name w:val="修订1"/>
    <w:hidden/>
    <w:unhideWhenUsed/>
    <w:qFormat/>
    <w:uiPriority w:val="99"/>
    <w:rPr>
      <w:rFonts w:ascii="Calibri" w:hAnsi="Calibri" w:eastAsia="宋体" w:cs="Times New Roman"/>
      <w:kern w:val="2"/>
      <w:sz w:val="21"/>
      <w:szCs w:val="21"/>
      <w:lang w:val="en-US" w:eastAsia="zh-CN" w:bidi="ar-SA"/>
    </w:rPr>
  </w:style>
  <w:style w:type="paragraph" w:customStyle="1" w:styleId="239">
    <w:name w:val="修订2"/>
    <w:hidden/>
    <w:unhideWhenUsed/>
    <w:qFormat/>
    <w:uiPriority w:val="99"/>
    <w:rPr>
      <w:rFonts w:ascii="Calibri" w:hAnsi="Calibri" w:eastAsia="宋体" w:cs="Times New Roman"/>
      <w:kern w:val="2"/>
      <w:sz w:val="21"/>
      <w:szCs w:val="21"/>
      <w:lang w:val="en-US" w:eastAsia="zh-CN" w:bidi="ar-SA"/>
    </w:rPr>
  </w:style>
  <w:style w:type="paragraph" w:customStyle="1" w:styleId="240">
    <w:name w:val="字母编号列项（一级）"/>
    <w:uiPriority w:val="0"/>
    <w:pPr>
      <w:tabs>
        <w:tab w:val="left" w:pos="840"/>
      </w:tabs>
      <w:ind w:left="839" w:hanging="419"/>
      <w:jc w:val="both"/>
    </w:pPr>
    <w:rPr>
      <w:rFonts w:ascii="宋体" w:hAnsi="Calibri" w:eastAsia="宋体" w:cs="Times New Roman"/>
      <w:sz w:val="21"/>
      <w:lang w:val="en-US" w:eastAsia="zh-CN" w:bidi="ar-SA"/>
    </w:rPr>
  </w:style>
  <w:style w:type="paragraph" w:customStyle="1" w:styleId="241">
    <w:name w:val="一级条标题"/>
    <w:basedOn w:val="1"/>
    <w:next w:val="235"/>
    <w:qFormat/>
    <w:uiPriority w:val="0"/>
    <w:pPr>
      <w:widowControl/>
      <w:adjustRightInd/>
      <w:spacing w:beforeLines="50" w:afterLines="50" w:line="240" w:lineRule="auto"/>
      <w:outlineLvl w:val="2"/>
    </w:pPr>
    <w:rPr>
      <w:rFonts w:ascii="黑体" w:eastAsia="黑体"/>
      <w:kern w:val="0"/>
    </w:rPr>
  </w:style>
  <w:style w:type="paragraph" w:customStyle="1" w:styleId="242">
    <w:name w:val="编号列项（三级）"/>
    <w:uiPriority w:val="0"/>
    <w:pPr>
      <w:tabs>
        <w:tab w:val="left" w:pos="0"/>
      </w:tabs>
      <w:ind w:left="1679" w:hanging="420"/>
    </w:pPr>
    <w:rPr>
      <w:rFonts w:ascii="宋体" w:hAnsi="Calibri" w:eastAsia="宋体" w:cs="Times New Roman"/>
      <w:sz w:val="21"/>
      <w:lang w:val="en-US" w:eastAsia="zh-CN" w:bidi="ar-SA"/>
    </w:rPr>
  </w:style>
  <w:style w:type="paragraph" w:customStyle="1" w:styleId="243">
    <w:name w:val="数字编号列项（二级）"/>
    <w:uiPriority w:val="0"/>
    <w:pPr>
      <w:tabs>
        <w:tab w:val="left" w:pos="1260"/>
      </w:tabs>
      <w:ind w:left="1259" w:hanging="419"/>
      <w:jc w:val="both"/>
    </w:pPr>
    <w:rPr>
      <w:rFonts w:ascii="宋体" w:hAnsi="Calibri" w:eastAsia="宋体" w:cs="Times New Roman"/>
      <w:sz w:val="21"/>
      <w:lang w:val="en-US" w:eastAsia="zh-CN" w:bidi="ar-SA"/>
    </w:rPr>
  </w:style>
  <w:style w:type="paragraph" w:customStyle="1" w:styleId="244">
    <w:name w:val="其他标准标志"/>
    <w:basedOn w:val="52"/>
    <w:uiPriority w:val="0"/>
    <w:pPr>
      <w:framePr w:w="6101" w:h="1389" w:hRule="exact" w:hSpace="181" w:vSpace="181" w:wrap="around" w:vAnchor="page" w:hAnchor="page" w:x="4673" w:y="942"/>
    </w:pPr>
    <w:rPr>
      <w:rFonts w:ascii="Calibri" w:hAnsi="Calibri"/>
      <w:szCs w:val="9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glossaryDocument" Target="glossary/document.xml"/><Relationship Id="rId28" Type="http://schemas.openxmlformats.org/officeDocument/2006/relationships/fontTable" Target="fontTable.xml"/><Relationship Id="rId27" Type="http://schemas.openxmlformats.org/officeDocument/2006/relationships/customXml" Target="../customXml/item2.xml"/><Relationship Id="rId26" Type="http://schemas.openxmlformats.org/officeDocument/2006/relationships/numbering" Target="numbering.xml"/><Relationship Id="rId25" Type="http://schemas.openxmlformats.org/officeDocument/2006/relationships/customXml" Target="../customXml/item1.xml"/><Relationship Id="rId24" Type="http://schemas.openxmlformats.org/officeDocument/2006/relationships/image" Target="media/image1.jpeg"/><Relationship Id="rId23" Type="http://schemas.openxmlformats.org/officeDocument/2006/relationships/theme" Target="theme/theme1.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B8B69FCE18D479889C75F798B59C500"/>
        <w:style w:val=""/>
        <w:category>
          <w:name w:val="常规"/>
          <w:gallery w:val="placeholder"/>
        </w:category>
        <w:types>
          <w:type w:val="bbPlcHdr"/>
        </w:types>
        <w:behaviors>
          <w:behavior w:val="content"/>
        </w:behaviors>
        <w:description w:val=""/>
        <w:guid w:val="{0BB1A804-0865-4C54-94E4-4E90FEE2014D}"/>
      </w:docPartPr>
      <w:docPartBody>
        <w:p w14:paraId="5312E28D">
          <w:pPr>
            <w:pStyle w:val="5"/>
            <w:rPr>
              <w:rFonts w:hint="eastAsia"/>
            </w:rPr>
          </w:pPr>
          <w:r>
            <w:rPr>
              <w:rStyle w:val="4"/>
              <w:rFonts w:hint="eastAsia"/>
            </w:rPr>
            <w:t>单击或点击此处输入文字。</w:t>
          </w:r>
        </w:p>
      </w:docPartBody>
    </w:docPart>
    <w:docPart>
      <w:docPartPr>
        <w:name w:val="148B71B48F22476B9C6AF5C53D17E961"/>
        <w:style w:val=""/>
        <w:category>
          <w:name w:val="常规"/>
          <w:gallery w:val="placeholder"/>
        </w:category>
        <w:types>
          <w:type w:val="bbPlcHdr"/>
        </w:types>
        <w:behaviors>
          <w:behavior w:val="content"/>
        </w:behaviors>
        <w:description w:val=""/>
        <w:guid w:val="{8B8B4D72-4920-43CB-B88A-0A4EE089C311}"/>
      </w:docPartPr>
      <w:docPartBody>
        <w:p w14:paraId="6E4960E3">
          <w:pPr>
            <w:pStyle w:val="6"/>
            <w:rPr>
              <w:rFonts w:hint="eastAsia"/>
            </w:rPr>
          </w:pPr>
          <w:r>
            <w:rPr>
              <w:rStyle w:val="4"/>
              <w:rFonts w:hint="eastAsia"/>
            </w:rPr>
            <w:t>选择一项。</w:t>
          </w:r>
        </w:p>
      </w:docPartBody>
    </w:docPart>
    <w:docPart>
      <w:docPartPr>
        <w:name w:val="57E1D718716344C7A39C660D2FA202E1"/>
        <w:style w:val=""/>
        <w:category>
          <w:name w:val="常规"/>
          <w:gallery w:val="placeholder"/>
        </w:category>
        <w:types>
          <w:type w:val="bbPlcHdr"/>
        </w:types>
        <w:behaviors>
          <w:behavior w:val="content"/>
        </w:behaviors>
        <w:description w:val=""/>
        <w:guid w:val="{DDC3E0D4-FF57-4E28-BC95-0CC4DC4FAFB1}"/>
      </w:docPartPr>
      <w:docPartBody>
        <w:p w14:paraId="11CCCA1A">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0DDF"/>
    <w:rsid w:val="000062A3"/>
    <w:rsid w:val="00034F0A"/>
    <w:rsid w:val="000727FB"/>
    <w:rsid w:val="000A21BF"/>
    <w:rsid w:val="001A49B1"/>
    <w:rsid w:val="00270143"/>
    <w:rsid w:val="002F447E"/>
    <w:rsid w:val="0030083C"/>
    <w:rsid w:val="00321616"/>
    <w:rsid w:val="003C4B27"/>
    <w:rsid w:val="00405C76"/>
    <w:rsid w:val="0042311D"/>
    <w:rsid w:val="004E14F8"/>
    <w:rsid w:val="004E26F5"/>
    <w:rsid w:val="005E0817"/>
    <w:rsid w:val="00607366"/>
    <w:rsid w:val="006B6244"/>
    <w:rsid w:val="006D1CCC"/>
    <w:rsid w:val="006E657E"/>
    <w:rsid w:val="006F16B0"/>
    <w:rsid w:val="00810478"/>
    <w:rsid w:val="0081180B"/>
    <w:rsid w:val="00813C39"/>
    <w:rsid w:val="0081483D"/>
    <w:rsid w:val="00841652"/>
    <w:rsid w:val="008627B2"/>
    <w:rsid w:val="008B1941"/>
    <w:rsid w:val="00920327"/>
    <w:rsid w:val="009B3C06"/>
    <w:rsid w:val="009D17A5"/>
    <w:rsid w:val="009E6CC9"/>
    <w:rsid w:val="009F4EDB"/>
    <w:rsid w:val="00A7102D"/>
    <w:rsid w:val="00AC6F8F"/>
    <w:rsid w:val="00B701A7"/>
    <w:rsid w:val="00BB0DDF"/>
    <w:rsid w:val="00BD5CFC"/>
    <w:rsid w:val="00BF5AC9"/>
    <w:rsid w:val="00C43C92"/>
    <w:rsid w:val="00C85AF7"/>
    <w:rsid w:val="00C975CE"/>
    <w:rsid w:val="00D24FE9"/>
    <w:rsid w:val="00D4466B"/>
    <w:rsid w:val="00EB0DB6"/>
    <w:rsid w:val="00F26B51"/>
    <w:rsid w:val="00F61184"/>
    <w:rsid w:val="00FB20DD"/>
    <w:rsid w:val="00FB2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B8B69FCE18D479889C75F798B59C50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148B71B48F22476B9C6AF5C53D17E96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57E1D718716344C7A39C660D2FA202E1"/>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2138</Words>
  <Characters>2549</Characters>
  <Lines>134</Lines>
  <Paragraphs>170</Paragraphs>
  <TotalTime>632</TotalTime>
  <ScaleCrop>false</ScaleCrop>
  <LinksUpToDate>false</LinksUpToDate>
  <CharactersWithSpaces>2826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2025-10-31T08:36:00Z</dcterms:created>
  <dc:creator>C B</dc:creator>
  <dc:description>&lt;config cover="true" show_menu="true" version="1.0.0" doctype="SDKXY"&gt;_x000d_
&lt;/config&gt;</dc:description>
  <cp:lastModifiedBy>徐善美</cp:lastModifiedBy>
  <cp:lastPrinted>2026-01-09T09:34:00Z</cp:lastPrinted>
  <dcterms:modified xsi:type="dcterms:W3CDTF">2026-03-27T01:29:08Z</dcterms:modified>
  <dc:title>团体标准</dc:title>
  <cp:revision>133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2052-12.1.0.25225</vt:lpwstr>
  </property>
  <property fmtid="{D5CDD505-2E9C-101B-9397-08002B2CF9AE}" pid="16" name="ICV">
    <vt:lpwstr>6C0D8460FE2849BF81C804E1C2C95E88_12</vt:lpwstr>
  </property>
  <property fmtid="{D5CDD505-2E9C-101B-9397-08002B2CF9AE}" pid="17" name="KSOTemplateDocerSaveRecord">
    <vt:lpwstr>eyJoZGlkIjoiOTdiODkyMDViNjQ2OTJhNTQ4NGQ3YzVlYzI0MjViOWUiLCJ1c2VySWQiOiI0MDg1NTcwNzUifQ==</vt:lpwstr>
  </property>
</Properties>
</file>